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_rels/chart1.xml.rels" ContentType="application/vnd.openxmlformats-package.relationships+xml"/>
  <Override PartName="/word/charts/_rels/chart2.xml.rels" ContentType="application/vnd.openxmlformats-package.relationships+xml"/>
  <Override PartName="/word/charts/_rels/chart3.xml.rels" ContentType="application/vnd.openxmlformats-package.relationships+xml"/>
  <Override PartName="/word/charts/_rels/chart4.xml.rels" ContentType="application/vnd.openxmlformats-package.relationships+xml"/>
  <Override PartName="/word/charts/_rels/chart5.xml.rels" ContentType="application/vnd.openxmlformats-package.relationships+xml"/>
  <Override PartName="/word/charts/_rels/chart10.xml.rels" ContentType="application/vnd.openxmlformats-package.relationships+xml"/>
  <Override PartName="/word/charts/_rels/chart6.xml.rels" ContentType="application/vnd.openxmlformats-package.relationships+xml"/>
  <Override PartName="/word/charts/_rels/chart7.xml.rels" ContentType="application/vnd.openxmlformats-package.relationships+xml"/>
  <Override PartName="/word/charts/_rels/chart11.xml.rels" ContentType="application/vnd.openxmlformats-package.relationships+xml"/>
  <Override PartName="/word/charts/_rels/chart8.xml.rels" ContentType="application/vnd.openxmlformats-package.relationships+xml"/>
  <Override PartName="/word/charts/_rels/chart12.xml.rels" ContentType="application/vnd.openxmlformats-package.relationships+xml"/>
  <Override PartName="/word/charts/_rels/chart9.xml.rels" ContentType="application/vnd.openxmlformats-package.relationships+xml"/>
  <Override PartName="/word/fontTable.xml" ContentType="application/vnd.openxmlformats-officedocument.wordprocessingml.fontTable+xml"/>
  <Override PartName="/word/media/image1.png" ContentType="image/png"/>
  <Override PartName="/word/media/image2.jpeg" ContentType="image/jpeg"/>
  <Override PartName="/word/media/image3.jpeg" ContentType="image/jpeg"/>
  <Override PartName="/word/settings.xml" ContentType="application/vnd.openxmlformats-officedocument.wordprocessingml.settings+xml"/>
  <Override PartName="/word/theme/theme1.xml" ContentType="application/vnd.openxmlformats-officedocument.theme+xml"/>
  <Override PartName="/word/embeddings/_____Microsoft_Excel1.xlsx" ContentType="application/vnd.openxmlformats-officedocument.spreadsheetml.sheet"/>
  <Override PartName="/word/embeddings/_____Microsoft_Excel2.xlsx" ContentType="application/vnd.openxmlformats-officedocument.spreadsheetml.sheet"/>
  <Override PartName="/word/embeddings/_____Microsoft_Excel3.xlsx" ContentType="application/vnd.openxmlformats-officedocument.spreadsheetml.sheet"/>
  <Override PartName="/word/embeddings/_____Microsoft_Excel4.xlsx" ContentType="application/vnd.openxmlformats-officedocument.spreadsheetml.sheet"/>
  <Override PartName="/word/embeddings/_____Microsoft_Excel5.xlsx" ContentType="application/vnd.openxmlformats-officedocument.spreadsheetml.sheet"/>
  <Override PartName="/word/embeddings/_____Microsoft_Excel6.xlsx" ContentType="application/vnd.openxmlformats-officedocument.spreadsheetml.sheet"/>
  <Override PartName="/word/embeddings/_____Microsoft_Excel7.xlsx" ContentType="application/vnd.openxmlformats-officedocument.spreadsheetml.sheet"/>
  <Override PartName="/word/embeddings/_____Microsoft_Excel8.xlsx" ContentType="application/vnd.openxmlformats-officedocument.spreadsheetml.sheet"/>
  <Override PartName="/word/embeddings/_____Microsoft_Excel9.xlsx" ContentType="application/vnd.openxmlformats-officedocument.spreadsheetml.sheet"/>
  <Override PartName="/word/embeddings/_____Microsoft_Excel10.xlsx" ContentType="application/vnd.openxmlformats-officedocument.spreadsheetml.sheet"/>
  <Override PartName="/word/embeddings/_____Microsoft_Excel11.xlsx" ContentType="application/vnd.openxmlformats-officedocument.spreadsheetml.sheet"/>
  <Override PartName="/word/embeddings/_____Microsoft_Excel12.xlsx" ContentType="application/vnd.openxmlformats-officedocument.spreadsheetml.sheet"/>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right="-284" w:hanging="0"/>
        <w:jc w:val="center"/>
        <w:rPr>
          <w:b/>
          <w:b/>
          <w:sz w:val="28"/>
          <w:szCs w:val="28"/>
        </w:rPr>
      </w:pPr>
      <w:r>
        <w:rPr>
          <w:b/>
          <w:sz w:val="28"/>
          <w:szCs w:val="28"/>
        </w:rPr>
        <w:t>Анализ</w:t>
      </w:r>
    </w:p>
    <w:p>
      <w:pPr>
        <w:pStyle w:val="Normal"/>
        <w:ind w:left="-709" w:right="-284" w:hanging="0"/>
        <w:jc w:val="center"/>
        <w:rPr>
          <w:b/>
          <w:b/>
          <w:sz w:val="28"/>
          <w:szCs w:val="28"/>
        </w:rPr>
      </w:pPr>
      <w:r>
        <w:rPr>
          <w:b/>
          <w:sz w:val="28"/>
          <w:szCs w:val="28"/>
        </w:rPr>
        <w:t>состояния детского дорожно-транспортного травматизма</w:t>
      </w:r>
    </w:p>
    <w:p>
      <w:pPr>
        <w:pStyle w:val="Normal"/>
        <w:ind w:left="-709" w:right="-284" w:hanging="0"/>
        <w:jc w:val="center"/>
        <w:rPr>
          <w:b/>
          <w:b/>
          <w:sz w:val="28"/>
          <w:szCs w:val="28"/>
        </w:rPr>
      </w:pPr>
      <w:r>
        <w:rPr>
          <w:b/>
          <w:sz w:val="28"/>
          <w:szCs w:val="28"/>
        </w:rPr>
        <w:t>на территории Свердловской области за 7 месяцев 2023 года</w:t>
      </w:r>
    </w:p>
    <w:p>
      <w:pPr>
        <w:pStyle w:val="Normal"/>
        <w:suppressAutoHyphens w:val="true"/>
        <w:ind w:left="-709" w:firstLine="709"/>
        <w:jc w:val="both"/>
        <w:rPr>
          <w:b/>
          <w:b/>
          <w:sz w:val="28"/>
          <w:szCs w:val="28"/>
        </w:rPr>
      </w:pPr>
      <w:r>
        <w:rPr>
          <w:b/>
          <w:sz w:val="28"/>
          <w:szCs w:val="28"/>
        </w:rPr>
        <w:drawing>
          <wp:anchor behindDoc="0" distT="0" distB="0" distL="0" distR="0" simplePos="0" locked="0" layoutInCell="0" allowOverlap="1" relativeHeight="5">
            <wp:simplePos x="0" y="0"/>
            <wp:positionH relativeFrom="margin">
              <wp:posOffset>-641985</wp:posOffset>
            </wp:positionH>
            <wp:positionV relativeFrom="paragraph">
              <wp:posOffset>226695</wp:posOffset>
            </wp:positionV>
            <wp:extent cx="2305050" cy="2409825"/>
            <wp:effectExtent l="0" t="0" r="0" b="0"/>
            <wp:wrapSquare wrapText="bothSides"/>
            <wp:docPr id="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2"/>
              </a:graphicData>
            </a:graphic>
          </wp:anchor>
        </w:drawing>
      </w:r>
    </w:p>
    <w:p>
      <w:pPr>
        <w:pStyle w:val="Normal"/>
        <w:suppressAutoHyphens w:val="true"/>
        <w:ind w:left="-709" w:right="-1" w:firstLine="709"/>
        <w:jc w:val="both"/>
        <w:rPr>
          <w:sz w:val="28"/>
          <w:szCs w:val="28"/>
        </w:rPr>
      </w:pPr>
      <w:r>
        <w:rPr>
          <w:sz w:val="28"/>
          <w:szCs w:val="28"/>
        </w:rPr>
        <w:t xml:space="preserve">На территории Свердловской области </w:t>
        <w:br/>
        <w:t xml:space="preserve">за 7 месяцев 2023 г. зарегистрировано 202 </w:t>
        <w:br/>
        <w:t>(175; +15,4%) ДТП с участием несовершеннолетних, в которых 218 (200; +9%) детей получили травмы различной степени тяжести и 6 (11; -45,5%) погибли.</w:t>
      </w:r>
    </w:p>
    <w:p>
      <w:pPr>
        <w:pStyle w:val="Normal"/>
        <w:suppressAutoHyphens w:val="true"/>
        <w:ind w:left="-709" w:right="-1" w:firstLine="709"/>
        <w:jc w:val="both"/>
        <w:rPr>
          <w:color w:val="000000" w:themeColor="text1"/>
          <w:sz w:val="28"/>
          <w:szCs w:val="28"/>
        </w:rPr>
      </w:pPr>
      <w:r>
        <w:rPr>
          <w:color w:val="000000" w:themeColor="text1"/>
          <w:sz w:val="28"/>
          <w:szCs w:val="28"/>
        </w:rPr>
        <w:t>Дорожно-транспортные происшествия, в результате которых пострадали дети, составили 13% от общего количества учетных дорожных аварий. Таким образом, дети стали участниками каждого 8 ДТП с пострадавшими в регионе.</w:t>
      </w:r>
    </w:p>
    <w:p>
      <w:pPr>
        <w:pStyle w:val="Normal"/>
        <w:suppressAutoHyphens w:val="true"/>
        <w:ind w:left="-709" w:right="-1" w:firstLine="709"/>
        <w:jc w:val="both"/>
        <w:rPr>
          <w:color w:val="000000" w:themeColor="text1"/>
          <w:sz w:val="28"/>
          <w:szCs w:val="28"/>
        </w:rPr>
      </w:pPr>
      <w:r>
        <w:rPr>
          <w:color w:val="000000" w:themeColor="text1"/>
          <w:sz w:val="28"/>
          <w:szCs w:val="28"/>
        </w:rPr>
        <w:t>ДТП с погибшими детьми зарегистрированы на территории обслуживания ОМВД России по г. Первоуральску- 2 ДТП (+100%), МО МВД России «Верхнепышминский» (+100%), МО МВД России «Заречный» (+100%), УМВД России по г. Екатеринбургу (уровень АППГ), ОМВД России по Талицкому району (уровень АППГ):</w:t>
      </w:r>
    </w:p>
    <w:p>
      <w:pPr>
        <w:pStyle w:val="ConsPlusNormal"/>
        <w:widowControl/>
        <w:numPr>
          <w:ilvl w:val="0"/>
          <w:numId w:val="0"/>
        </w:numPr>
        <w:ind w:left="-709" w:firstLine="567"/>
        <w:jc w:val="both"/>
        <w:outlineLvl w:val="1"/>
        <w:rPr>
          <w:rFonts w:ascii="Times New Roman" w:hAnsi="Times New Roman" w:cs="Times New Roman"/>
          <w:i/>
          <w:i/>
          <w:color w:val="000000" w:themeColor="text1"/>
          <w:sz w:val="26"/>
          <w:szCs w:val="26"/>
        </w:rPr>
      </w:pPr>
      <w:r>
        <w:rPr>
          <w:rFonts w:cs="Times New Roman" w:ascii="Times New Roman" w:hAnsi="Times New Roman"/>
          <w:b/>
          <w:i/>
          <w:color w:val="000000" w:themeColor="text1"/>
          <w:sz w:val="26"/>
          <w:szCs w:val="26"/>
        </w:rPr>
        <w:t xml:space="preserve">03.01.2023 </w:t>
      </w:r>
      <w:r>
        <w:rPr>
          <w:rFonts w:cs="Times New Roman" w:ascii="Times New Roman" w:hAnsi="Times New Roman"/>
          <w:i/>
          <w:color w:val="000000" w:themeColor="text1"/>
          <w:sz w:val="26"/>
          <w:szCs w:val="26"/>
        </w:rPr>
        <w:t>года около 00.30 часов на 319 км автодорога Пермь-Екатеринбург (зона обслуживания отделения Госавтоинспекции ОМВД России по г. Первоуральску)</w:t>
      </w:r>
      <w:r>
        <w:rPr>
          <w:rStyle w:val="Style14"/>
          <w:rFonts w:cs="Times New Roman" w:ascii="Times New Roman" w:hAnsi="Times New Roman"/>
          <w:color w:val="000000" w:themeColor="text1"/>
          <w:sz w:val="26"/>
          <w:szCs w:val="26"/>
        </w:rPr>
        <w:t xml:space="preserve">, водитель автомобиля «Лада Ларгус», двигаясь в условиях снегопада, </w:t>
      </w:r>
      <w:r>
        <w:rPr>
          <w:rFonts w:cs="Times New Roman" w:ascii="Times New Roman" w:hAnsi="Times New Roman"/>
          <w:i/>
          <w:color w:val="000000" w:themeColor="text1"/>
          <w:sz w:val="26"/>
          <w:szCs w:val="26"/>
        </w:rPr>
        <w:t>выбрал небезопасную скорость, вследствие чего не справился с управлением и допустил наезд на композитное ограждение с последующим выездом на встречную полосу, где совершил столкновение с автомашиной «Рено Дастер». В результате аварии 5-летний мальчик-пассажир автомобиля «</w:t>
      </w:r>
      <w:r>
        <w:rPr>
          <w:rStyle w:val="Style14"/>
          <w:rFonts w:cs="Times New Roman" w:ascii="Times New Roman" w:hAnsi="Times New Roman"/>
          <w:color w:val="000000" w:themeColor="text1"/>
          <w:sz w:val="26"/>
          <w:szCs w:val="26"/>
        </w:rPr>
        <w:t>Лада Ларгус</w:t>
      </w:r>
      <w:r>
        <w:rPr>
          <w:rFonts w:cs="Times New Roman" w:ascii="Times New Roman" w:hAnsi="Times New Roman"/>
          <w:i/>
          <w:color w:val="000000" w:themeColor="text1"/>
          <w:sz w:val="26"/>
          <w:szCs w:val="26"/>
        </w:rPr>
        <w:t>», сидевший сзади посередине, пристегнутый диагональным штатным ремнем безопасности, погиб в карете скорой медицинской помощи во время транспортировки. Слева от юного пассажира сидела мать, которая не была пристегнута ремнем безопасности, предположительно она придавила ребенка своей массой тела в момент удара. Еще одна женщина-пассажир данного автомобиля скончалась на месте аварии. Еще четыре пассажира Лады и оба водителя с травмами различной степени тяжести госпитализированы. Установлено, что водитель Лады перевозил попутчиков из Екатеринбурга в Башкирию, в момент ДТП управлял автомобилем в утомленном состоянии.</w:t>
      </w:r>
    </w:p>
    <w:p>
      <w:pPr>
        <w:pStyle w:val="ConsPlusNormal"/>
        <w:widowControl/>
        <w:numPr>
          <w:ilvl w:val="0"/>
          <w:numId w:val="0"/>
        </w:numPr>
        <w:ind w:left="-709" w:firstLine="567"/>
        <w:jc w:val="both"/>
        <w:outlineLvl w:val="1"/>
        <w:rPr>
          <w:rFonts w:ascii="Times New Roman" w:hAnsi="Times New Roman" w:cs="Times New Roman"/>
          <w:i/>
          <w:i/>
          <w:color w:val="000000" w:themeColor="text1"/>
          <w:sz w:val="26"/>
          <w:szCs w:val="26"/>
        </w:rPr>
      </w:pPr>
      <w:r>
        <w:rPr>
          <w:rFonts w:cs="Times New Roman" w:ascii="Times New Roman" w:hAnsi="Times New Roman"/>
          <w:b/>
          <w:i/>
          <w:color w:val="000000" w:themeColor="text1"/>
          <w:sz w:val="26"/>
          <w:szCs w:val="26"/>
        </w:rPr>
        <w:t xml:space="preserve">29.05.2023 </w:t>
      </w:r>
      <w:r>
        <w:rPr>
          <w:rFonts w:cs="Times New Roman" w:ascii="Times New Roman" w:hAnsi="Times New Roman"/>
          <w:i/>
          <w:color w:val="000000" w:themeColor="text1"/>
          <w:sz w:val="26"/>
          <w:szCs w:val="26"/>
        </w:rPr>
        <w:t>года около 17 часов в Верхней Пышме водитель междугороднего автобуса «Нефаз», при повороте направо и проезде регулируемого пешеходного перехода, не предоставил преимущество и совершил наезд на 9-летнюю девочку, переходившую проезжую часть на разрешающий сигнал светофора. В результате ДТП девочка-пешеход от полученных травм скончалась на месте, до прибытия скорой помощи. Известно, что ребенок попал в «мертвую зону» для водителя. Девочка в момент трагедии находилась на летних каникулах, направлялась из магазина к подруге на прогулку.</w:t>
      </w:r>
    </w:p>
    <w:p>
      <w:pPr>
        <w:pStyle w:val="ConsPlusNormal"/>
        <w:widowControl/>
        <w:numPr>
          <w:ilvl w:val="0"/>
          <w:numId w:val="0"/>
        </w:numPr>
        <w:ind w:left="-709" w:firstLine="567"/>
        <w:jc w:val="both"/>
        <w:outlineLvl w:val="1"/>
        <w:rPr>
          <w:rFonts w:ascii="Times New Roman" w:hAnsi="Times New Roman" w:cs="Times New Roman"/>
          <w:i/>
          <w:i/>
          <w:color w:val="000000" w:themeColor="text1"/>
          <w:sz w:val="26"/>
          <w:szCs w:val="26"/>
        </w:rPr>
      </w:pPr>
      <w:r>
        <w:rPr>
          <w:rFonts w:cs="Times New Roman" w:ascii="Times New Roman" w:hAnsi="Times New Roman"/>
          <w:b/>
          <w:i/>
          <w:color w:val="000000" w:themeColor="text1"/>
          <w:sz w:val="26"/>
          <w:szCs w:val="26"/>
        </w:rPr>
        <w:t xml:space="preserve">30.06.2023 </w:t>
      </w:r>
      <w:r>
        <w:rPr>
          <w:rFonts w:cs="Times New Roman" w:ascii="Times New Roman" w:hAnsi="Times New Roman"/>
          <w:i/>
          <w:color w:val="000000" w:themeColor="text1"/>
          <w:sz w:val="26"/>
          <w:szCs w:val="26"/>
        </w:rPr>
        <w:t xml:space="preserve">года около 13 часов в Екатеринбурге несовершеннолетний водитель питбайка, без государственного регистрационного знака, двигаясь с небезопасной скоростью, потерял контроль за управлением транспортного средства, допустил наезд на препятствие в виде столба. </w:t>
        <w:br/>
        <w:t>В результате ДТП 13-летний водитель мотобайка получил тяжелые травмы, на восьмые сутки скончался в больнице. Установлено, что средства пассивной защиты на ребенке отсутствовали. Мототранспорт мальчик взял у друга. Родители в момент аварии находились на работе, о поездке ребенка не знали.</w:t>
      </w:r>
    </w:p>
    <w:p>
      <w:pPr>
        <w:pStyle w:val="ConsPlusNormal"/>
        <w:widowControl/>
        <w:numPr>
          <w:ilvl w:val="0"/>
          <w:numId w:val="0"/>
        </w:numPr>
        <w:ind w:left="-709" w:firstLine="567"/>
        <w:jc w:val="both"/>
        <w:outlineLvl w:val="1"/>
        <w:rPr>
          <w:rFonts w:ascii="Times New Roman" w:hAnsi="Times New Roman" w:cs="Times New Roman"/>
          <w:i/>
          <w:i/>
          <w:color w:val="000000" w:themeColor="text1"/>
          <w:sz w:val="26"/>
          <w:szCs w:val="26"/>
        </w:rPr>
      </w:pPr>
      <w:r>
        <w:rPr>
          <w:rFonts w:cs="Times New Roman" w:ascii="Times New Roman" w:hAnsi="Times New Roman"/>
          <w:b/>
          <w:i/>
          <w:color w:val="000000" w:themeColor="text1"/>
          <w:sz w:val="26"/>
          <w:szCs w:val="26"/>
        </w:rPr>
        <w:t xml:space="preserve">30.06.2023 </w:t>
      </w:r>
      <w:r>
        <w:rPr>
          <w:rFonts w:cs="Times New Roman" w:ascii="Times New Roman" w:hAnsi="Times New Roman"/>
          <w:i/>
          <w:color w:val="000000" w:themeColor="text1"/>
          <w:sz w:val="26"/>
          <w:szCs w:val="26"/>
        </w:rPr>
        <w:t>года около 18 часов на 66 км автодороги «Екатеринбург – Тюмень» (зона обслуживания отделения Госавтоинспекции МО МВД России «Заречный»), водитель автомобиля «Шевроле Круз», при совершении обгона, не убедился, что встречная полоса свободна на достаточном для совершения маневра расстоянии, вследствие чего, уходя от столкновения, съехал на левую обочину, где совершил столкновение со встречным автомобилем «Хонда Цивик», который также съехал на обочину, чтобы уйти от столкновения. В результате ДТП, 5-месячная девочка, пассажир автомобиля «Шевроле Круз», с тяжелыми травмами госпитализирована в больницу, где на следующие сутки скончалась. Еще 8 человек, из них 4 ребенка, с различными травмами доставлены в медицинские учреждения. Установлено, что погибшая находилась в салоне на заднем пассажирском сидении посередине, в детском удерживающем устройстве, соответствующем росту и весу ребенка, и была пристегнута ремнем безопасности. Рядом с ней находились две сестры 12 и 10 лет, которые не были пристегнуты ремнями безопасности. Предположительно они в момент удара придавили девочку своей массой тела. Управлял автомобилем родственник семьи. Мать детей находилась на переднем пассажирском сидении и была пристегнута ремнем безопасности. В салоне автомобиля «Хонда Цивик» находилась семья из четырех человек, глава семейства управлял автомобилем, мать и двое детей, девочки 7 и 12 лет, перевозились без нарушений правил дорожного движения, пристегнутые ремнем безопасности.</w:t>
      </w:r>
    </w:p>
    <w:p>
      <w:pPr>
        <w:pStyle w:val="ConsPlusNormal"/>
        <w:widowControl/>
        <w:numPr>
          <w:ilvl w:val="0"/>
          <w:numId w:val="0"/>
        </w:numPr>
        <w:ind w:left="-709" w:firstLine="567"/>
        <w:jc w:val="both"/>
        <w:outlineLvl w:val="1"/>
        <w:rPr>
          <w:rFonts w:ascii="Times New Roman" w:hAnsi="Times New Roman" w:cs="Times New Roman"/>
          <w:i/>
          <w:i/>
          <w:color w:val="000000" w:themeColor="text1"/>
          <w:sz w:val="26"/>
          <w:szCs w:val="26"/>
        </w:rPr>
      </w:pPr>
      <w:r>
        <w:rPr>
          <w:rFonts w:cs="Times New Roman" w:ascii="Times New Roman" w:hAnsi="Times New Roman"/>
          <w:b/>
          <w:i/>
          <w:color w:val="000000" w:themeColor="text1"/>
          <w:sz w:val="26"/>
          <w:szCs w:val="26"/>
        </w:rPr>
        <w:t xml:space="preserve">02.07.2023 </w:t>
      </w:r>
      <w:r>
        <w:rPr>
          <w:rFonts w:cs="Times New Roman" w:ascii="Times New Roman" w:hAnsi="Times New Roman"/>
          <w:i/>
          <w:color w:val="000000" w:themeColor="text1"/>
          <w:sz w:val="26"/>
          <w:szCs w:val="26"/>
        </w:rPr>
        <w:t>года около 20 часов на 198 км автодороги «Екатеринбург – Тюмень» (зона обслуживания отделения Госавтоинспекции ОМВД России по Талицкому району), водитель грузового автомобиля «Скания», отвлекся от управления, вследствие чего поздно заметил стоящий на обочине, в связи с поломкой, автомобиль «Тойота Верса», допустил с ним столкновение и наезд на пешехода. В результате ДТП 15-летний мальчик, пассажир легкового автомобиля и его мать-пешеход, которая в момент ДТП находилась у задней части автомобиля, с тяжелыми травмами госпитализированы в больницу. На 6-ые сутки ребенок от полученных ранений скончался. Известно, что подросток в момент аварии находился в салоне автомобиля на заднем пассажирском сидении, пристегнутый ремнем безопасности. Автомобилем управляла его мать. Во время движения пробило колесо, она остановила автомобиль на обочине, включила аварийную сигнализацию и вышла из салона, чтобы достать знак аварийной остановки из багажника, в этот момент произошел удар.</w:t>
      </w:r>
    </w:p>
    <w:p>
      <w:pPr>
        <w:pStyle w:val="NoSpacing"/>
        <w:ind w:left="-709" w:firstLine="426"/>
        <w:jc w:val="both"/>
        <w:rPr>
          <w:rFonts w:ascii="Times New Roman" w:hAnsi="Times New Roman"/>
          <w:i/>
          <w:i/>
          <w:color w:val="000000" w:themeColor="text1"/>
          <w:sz w:val="26"/>
          <w:szCs w:val="26"/>
        </w:rPr>
      </w:pPr>
      <w:r>
        <w:rPr>
          <w:rFonts w:ascii="Times New Roman" w:hAnsi="Times New Roman"/>
          <w:b/>
          <w:i/>
          <w:color w:val="000000" w:themeColor="text1"/>
          <w:sz w:val="26"/>
          <w:szCs w:val="26"/>
        </w:rPr>
        <w:t xml:space="preserve">30.07.2023 </w:t>
      </w:r>
      <w:r>
        <w:rPr>
          <w:rFonts w:ascii="Times New Roman" w:hAnsi="Times New Roman"/>
          <w:i/>
          <w:color w:val="000000" w:themeColor="text1"/>
          <w:sz w:val="26"/>
          <w:szCs w:val="26"/>
        </w:rPr>
        <w:t>года около</w:t>
      </w:r>
      <w:r>
        <w:rPr>
          <w:rFonts w:ascii="Times New Roman" w:hAnsi="Times New Roman"/>
          <w:i/>
          <w:sz w:val="26"/>
          <w:szCs w:val="26"/>
        </w:rPr>
        <w:t xml:space="preserve">15 часов на 5 км подъездной дороги к Первоуральску водитель минивена "Хонда Фрид", двигаясь в Первоуральске со стороны Екатеринбурга, уснул за рулем, вследствие чего потерял управление за автомобилем, выехал на встречную полосу, где допустил столкновение с автомашиной "Мазда МПВ". В результате автоаварии погибли два пассажира "Хонды", женщина 1992 г.р., житель р. Татарстан и 9-летняя девочка, дочь водителя. Еще девять человек, четверо из которых дети, доставлены в медицинские учреждения. Погибшая девочка перевозилась в детском удерживающем устройстве – типа «бустер», без боковой защиты головы и туловища, на третьем ряду заднего пассажирского сидения слева и была пристегнута ремнем безопасности. В связи с тем, что удар пришелся в ее сторону, она получила тяжелые травмы, скончалась в больнице. </w:t>
      </w:r>
    </w:p>
    <w:p>
      <w:pPr>
        <w:pStyle w:val="Normal"/>
        <w:ind w:left="-709" w:firstLine="709"/>
        <w:jc w:val="both"/>
        <w:rPr>
          <w:color w:val="000000" w:themeColor="text1"/>
          <w:sz w:val="28"/>
          <w:szCs w:val="28"/>
        </w:rPr>
      </w:pPr>
      <w:r>
        <w:rPr>
          <w:color w:val="000000" w:themeColor="text1"/>
          <w:sz w:val="28"/>
          <w:szCs w:val="28"/>
        </w:rPr>
      </w:r>
    </w:p>
    <w:p>
      <w:pPr>
        <w:pStyle w:val="Normal"/>
        <w:ind w:left="-709" w:firstLine="709"/>
        <w:jc w:val="both"/>
        <w:rPr>
          <w:color w:val="000000" w:themeColor="text1"/>
          <w:sz w:val="28"/>
          <w:szCs w:val="28"/>
        </w:rPr>
      </w:pPr>
      <w:r>
        <w:rPr>
          <w:color w:val="000000" w:themeColor="text1"/>
          <w:sz w:val="28"/>
          <w:szCs w:val="28"/>
        </w:rPr>
        <w:t>В 19 муниципальных образованиях Свердловской области отмечается рост аварийности с участием несовершеннолетних. На 350% увеличилось количество ДТП в Березовском (9 ДТП), на 200% в Ревде и Реже по 3 ДТП, на 166,7% в Первоуральске (8 ДТП), на 100% в Верхней Пышме (6 ДТП), Ирбит (3 ДТП), Байкалово, Богдановиче, Североуральске, Сухом Логу, Качканаре и Новоуральске по 2 ДТП, в Красноуральске, Шале и Свободном (по 1 ДТП), на 80 % в Нижнем Тагиле (27 ДТП), на 33,3% в Невьянске (4 ДТП), на 12,7% в Екатеринбурге (89 ДТП).</w:t>
      </w:r>
    </w:p>
    <w:p>
      <w:pPr>
        <w:pStyle w:val="Normal"/>
        <w:ind w:left="-709" w:firstLine="284"/>
        <w:jc w:val="both"/>
        <w:rPr>
          <w:sz w:val="28"/>
          <w:szCs w:val="28"/>
        </w:rPr>
      </w:pPr>
      <w:r>
        <w:rPr/>
        <w:drawing>
          <wp:inline distT="0" distB="0" distL="0" distR="0">
            <wp:extent cx="6485255" cy="4791075"/>
            <wp:effectExtent l="0" t="0" r="0" b="0"/>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inline>
        </w:drawing>
      </w:r>
    </w:p>
    <w:p>
      <w:pPr>
        <w:pStyle w:val="Normal"/>
        <w:ind w:left="-709" w:firstLine="720"/>
        <w:jc w:val="both"/>
        <w:rPr>
          <w:color w:val="000000" w:themeColor="text1"/>
          <w:sz w:val="28"/>
          <w:szCs w:val="28"/>
        </w:rPr>
      </w:pPr>
      <w:r>
        <w:rPr>
          <w:color w:val="000000" w:themeColor="text1"/>
          <w:sz w:val="28"/>
          <w:szCs w:val="28"/>
        </w:rPr>
        <w:t xml:space="preserve">46% (96) пострадавших и погибших в ДТП детей приходится на среднее школьное звено, 38% (80) на начальную школу и 16% (48) на дошкольный возраст, при этом большая часть пострадали и погибли в качестве пассажиров транспортных средств. </w:t>
      </w:r>
    </w:p>
    <w:p>
      <w:pPr>
        <w:pStyle w:val="Normal"/>
        <w:ind w:left="-709" w:hanging="0"/>
        <w:jc w:val="both"/>
        <w:rPr>
          <w:sz w:val="28"/>
          <w:szCs w:val="28"/>
        </w:rPr>
      </w:pPr>
      <w:r>
        <w:rPr/>
        <w:drawing>
          <wp:inline distT="0" distB="0" distL="0" distR="0">
            <wp:extent cx="3028950" cy="2247900"/>
            <wp:effectExtent l="0" t="0" r="0" b="0"/>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r>
        <w:rPr/>
        <w:drawing>
          <wp:inline distT="0" distB="0" distL="0" distR="0">
            <wp:extent cx="3019425" cy="2247900"/>
            <wp:effectExtent l="0" t="0" r="0" b="0"/>
            <wp:docPr id="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pStyle w:val="Normal"/>
        <w:ind w:left="-709" w:firstLine="720"/>
        <w:jc w:val="both"/>
        <w:rPr>
          <w:sz w:val="28"/>
          <w:szCs w:val="28"/>
        </w:rPr>
      </w:pPr>
      <w:r>
        <w:rPr>
          <w:sz w:val="28"/>
          <w:szCs w:val="28"/>
        </w:rPr>
        <w:t>По причине нарушения ПДД РФ водителями автотранспортных средств количество ДТП увеличилось на 24,8% (156), количество раненых в них детей на 14,8% (171) и погибших уменьшилось на 45,5% (6).</w:t>
      </w:r>
    </w:p>
    <w:p>
      <w:pPr>
        <w:pStyle w:val="Normal"/>
        <w:ind w:left="-709" w:firstLine="142"/>
        <w:jc w:val="both"/>
        <w:rPr>
          <w:sz w:val="28"/>
          <w:szCs w:val="28"/>
        </w:rPr>
      </w:pPr>
      <w:r>
        <w:rPr/>
        <w:drawing>
          <wp:inline distT="0" distB="0" distL="0" distR="0">
            <wp:extent cx="6268720" cy="1447800"/>
            <wp:effectExtent l="0" t="0" r="0" b="0"/>
            <wp:docPr id="5"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Normal"/>
        <w:ind w:left="-709" w:firstLine="720"/>
        <w:jc w:val="both"/>
        <w:rPr>
          <w:sz w:val="28"/>
          <w:szCs w:val="28"/>
        </w:rPr>
      </w:pPr>
      <w:r>
        <w:rPr>
          <w:sz w:val="28"/>
          <w:szCs w:val="28"/>
        </w:rPr>
        <w:t xml:space="preserve">70% ДТП (143) произошли при ясной погоде и 30% (59) при неблагоприятных метеорологических условиях (пасмурно, дождь, снегопад, метель). Неблагоприятные погодные условия косвенно могли повлиять на возникновение ДТП с участием детей, так как ухудшается видимость, возрастает тормозной и остановочный путь у транспортных средств. </w:t>
      </w:r>
    </w:p>
    <w:p>
      <w:pPr>
        <w:pStyle w:val="Normal"/>
        <w:ind w:left="-709" w:hanging="0"/>
        <w:jc w:val="both"/>
        <w:rPr>
          <w:sz w:val="28"/>
          <w:szCs w:val="28"/>
        </w:rPr>
      </w:pPr>
      <w:r>
        <w:rPr/>
        <w:drawing>
          <wp:inline distT="0" distB="0" distL="0" distR="0">
            <wp:extent cx="6219825" cy="1828800"/>
            <wp:effectExtent l="0" t="0" r="0" b="0"/>
            <wp:docPr id="6"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Normal"/>
        <w:ind w:left="-709" w:firstLine="567"/>
        <w:jc w:val="both"/>
        <w:rPr>
          <w:sz w:val="28"/>
          <w:szCs w:val="28"/>
        </w:rPr>
      </w:pPr>
      <w:r>
        <w:rPr>
          <w:sz w:val="28"/>
          <w:szCs w:val="28"/>
        </w:rPr>
        <w:t xml:space="preserve">87% происшествий с участием несовершеннолетних произошли </w:t>
        <w:br/>
        <w:t>в период с 11 ч. 00 мин. до 22 ч. 00 мин. (180 ДТП, 5 погибли, 195 ранены), при этом пик происшествий пришелся на период с 15 ч. 00 мин. до 19 ч. 00 мин. (84 ДТП, 2 погибли, 94 ранены) и с 12 ч. 00 мин. до 14 ч. 00 мин. (29 ДТП, 1 погиб, 30 ранены), такая тенденция связана с активным пребыванием детей в это время на улице и интенсивностью транспорта. На 100% увеличилось количество ДТП (12) в период с 21 ч. 00 мин. до 22 ч. 00 мин. и на 133,3% (14 ДТП) с 19 ч. 00 мин. до 20 ч. 00 мин.</w:t>
      </w:r>
    </w:p>
    <w:p>
      <w:pPr>
        <w:pStyle w:val="Normal"/>
        <w:ind w:left="-709" w:firstLine="567"/>
        <w:jc w:val="both"/>
        <w:rPr>
          <w:sz w:val="28"/>
          <w:szCs w:val="28"/>
        </w:rPr>
      </w:pPr>
      <w:r>
        <w:rPr>
          <w:sz w:val="28"/>
          <w:szCs w:val="28"/>
        </w:rPr>
      </w:r>
    </w:p>
    <w:p>
      <w:pPr>
        <w:pStyle w:val="Normal"/>
        <w:ind w:left="-709" w:hanging="0"/>
        <w:jc w:val="both"/>
        <w:rPr>
          <w:sz w:val="28"/>
          <w:szCs w:val="28"/>
        </w:rPr>
      </w:pPr>
      <w:r>
        <w:rPr/>
        <w:drawing>
          <wp:inline distT="0" distB="0" distL="0" distR="0">
            <wp:extent cx="6096000" cy="2222500"/>
            <wp:effectExtent l="0" t="0" r="0" b="0"/>
            <wp:docPr id="7"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Normal"/>
        <w:ind w:left="-709" w:hanging="0"/>
        <w:jc w:val="both"/>
        <w:rPr>
          <w:sz w:val="28"/>
          <w:szCs w:val="28"/>
        </w:rPr>
      </w:pPr>
      <w:r>
        <w:rPr>
          <w:sz w:val="28"/>
          <w:szCs w:val="28"/>
        </w:rPr>
      </w:r>
    </w:p>
    <w:p>
      <w:pPr>
        <w:pStyle w:val="Normal"/>
        <w:ind w:left="-709" w:firstLine="426"/>
        <w:jc w:val="both"/>
        <w:rPr>
          <w:sz w:val="28"/>
          <w:szCs w:val="28"/>
        </w:rPr>
      </w:pPr>
      <w:r>
        <w:rPr/>
        <w:drawing>
          <wp:inline distT="0" distB="0" distL="0" distR="0">
            <wp:extent cx="5839460" cy="2583180"/>
            <wp:effectExtent l="0" t="0" r="0" b="0"/>
            <wp:docPr id="8"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Style w:val="Normal"/>
        <w:ind w:left="-709" w:firstLine="720"/>
        <w:jc w:val="both"/>
        <w:rPr>
          <w:color w:val="000000" w:themeColor="text1"/>
          <w:sz w:val="28"/>
          <w:szCs w:val="28"/>
        </w:rPr>
      </w:pPr>
      <w:r>
        <w:rPr>
          <w:sz w:val="28"/>
          <w:szCs w:val="28"/>
        </w:rPr>
        <w:t xml:space="preserve">На автомобильных дорогах, расположенных в черте населенных пунктов, зарегистрировано 172 ДТП (+27,4%), в которых пострадали 179 (+21%) детей и 3 погибли (+50%). Рост количества ДТП в населенных пунктах зафиксирован в на 600% в Березовском (5 ДТП), на 400% в Пригородном районе Н.Тагила (5 ДТП), на 200% в Первоуральске (6 ДТП) и Верхней Пышме (3 ДТП), на 150% в Нижнем Тагиле (20 ДТП), на 100% в Карпинске (3 ДТП), Новоуральске, Ревде, Режевском и Сухоложском районах по 2 ДТП, Богдановичском, Верхотурском, Ирбитском, Шалинском районах, Качканаре, Красноуральске, Красноуфимске, Нижней Салде, Нижней Туре,  Свободном и </w:t>
      </w:r>
      <w:r>
        <w:rPr>
          <w:color w:val="000000" w:themeColor="text1"/>
          <w:sz w:val="28"/>
          <w:szCs w:val="28"/>
        </w:rPr>
        <w:t>Североуральске по 1 ДТП, на 15,6% (89) в Екатеринбурге. На автомобильных дорогах вне населенных пунктов зарегистрировано 30 ДТП (-25%), травмированы 39 (-25%) детей и 3 погибли (-66,7%). Из них, на дорогах федерального значения зарегистрировано 7 ДТП (-56,3%), в которых погибли 3 ребенка (уровень АППГ) и</w:t>
      </w:r>
      <w:r>
        <w:rPr>
          <w:color w:val="000000" w:themeColor="text1"/>
          <w:szCs w:val="28"/>
        </w:rPr>
        <w:t xml:space="preserve"> </w:t>
      </w:r>
      <w:r>
        <w:rPr>
          <w:color w:val="000000" w:themeColor="text1"/>
          <w:sz w:val="28"/>
          <w:szCs w:val="28"/>
        </w:rPr>
        <w:t xml:space="preserve">8 ранены (-61,9%). На автомобильных дорогах регионального значения произошло 37 ДТП (+8,8%), в которых 1 ребенок погиб (-80%) и 47 (+2,2%) детей получили травмы различной степени тяжести. На дорогах местного значения зарегистрировано 135 ДТП (+28,6%), в которых 2 ребенка погибли </w:t>
        <w:br/>
        <w:t>(-33,3%) и 139 (+21%) травмированы.</w:t>
      </w:r>
    </w:p>
    <w:p>
      <w:pPr>
        <w:pStyle w:val="Normal"/>
        <w:ind w:left="-709" w:firstLine="720"/>
        <w:jc w:val="both"/>
        <w:rPr>
          <w:color w:val="FF0000"/>
          <w:sz w:val="28"/>
          <w:szCs w:val="28"/>
        </w:rPr>
      </w:pPr>
      <w:r>
        <w:rPr>
          <w:color w:val="FF0000"/>
          <w:sz w:val="28"/>
          <w:szCs w:val="28"/>
        </w:rPr>
      </w:r>
    </w:p>
    <w:p>
      <w:pPr>
        <w:pStyle w:val="Normal"/>
        <w:ind w:left="-709" w:firstLine="284"/>
        <w:jc w:val="both"/>
        <w:rPr>
          <w:sz w:val="28"/>
          <w:szCs w:val="28"/>
        </w:rPr>
      </w:pPr>
      <w:r>
        <w:rPr/>
        <w:drawing>
          <wp:inline distT="0" distB="0" distL="0" distR="0">
            <wp:extent cx="6343650" cy="1983105"/>
            <wp:effectExtent l="0" t="0" r="0" b="0"/>
            <wp:docPr id="9"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Style w:val="Normal"/>
        <w:ind w:left="-709" w:firstLine="284"/>
        <w:jc w:val="both"/>
        <w:rPr>
          <w:sz w:val="28"/>
          <w:szCs w:val="28"/>
        </w:rPr>
      </w:pPr>
      <w:r>
        <w:rPr>
          <w:sz w:val="28"/>
          <w:szCs w:val="28"/>
        </w:rPr>
      </w:r>
    </w:p>
    <w:p>
      <w:pPr>
        <w:pStyle w:val="Normal"/>
        <w:ind w:left="-709" w:firstLine="720"/>
        <w:jc w:val="both"/>
        <w:rPr>
          <w:sz w:val="28"/>
          <w:szCs w:val="28"/>
        </w:rPr>
      </w:pPr>
      <w:r>
        <w:drawing>
          <wp:anchor behindDoc="0" distT="0" distB="0" distL="114300" distR="114300" simplePos="0" locked="0" layoutInCell="0" allowOverlap="1" relativeHeight="4">
            <wp:simplePos x="0" y="0"/>
            <wp:positionH relativeFrom="column">
              <wp:posOffset>-337185</wp:posOffset>
            </wp:positionH>
            <wp:positionV relativeFrom="paragraph">
              <wp:posOffset>116840</wp:posOffset>
            </wp:positionV>
            <wp:extent cx="1400175" cy="1466850"/>
            <wp:effectExtent l="0" t="0" r="0" b="0"/>
            <wp:wrapTight wrapText="bothSides">
              <wp:wrapPolygon edited="0">
                <wp:start x="-23" y="0"/>
                <wp:lineTo x="-23" y="21306"/>
                <wp:lineTo x="21442" y="21306"/>
                <wp:lineTo x="21442" y="0"/>
                <wp:lineTo x="-23" y="0"/>
              </wp:wrapPolygon>
            </wp:wrapTight>
            <wp:docPr id="10"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1" descr=""/>
                    <pic:cNvPicPr>
                      <a:picLocks noChangeAspect="1" noChangeArrowheads="1"/>
                    </pic:cNvPicPr>
                  </pic:nvPicPr>
                  <pic:blipFill>
                    <a:blip r:embed="rId11"/>
                    <a:srcRect l="37823" t="17679" r="39317" b="38410"/>
                    <a:stretch>
                      <a:fillRect/>
                    </a:stretch>
                  </pic:blipFill>
                  <pic:spPr bwMode="auto">
                    <a:xfrm>
                      <a:off x="0" y="0"/>
                      <a:ext cx="1400175" cy="1466850"/>
                    </a:xfrm>
                    <a:prstGeom prst="rect">
                      <a:avLst/>
                    </a:prstGeom>
                  </pic:spPr>
                </pic:pic>
              </a:graphicData>
            </a:graphic>
          </wp:anchor>
        </w:drawing>
      </w:r>
      <w:r>
        <w:rPr>
          <w:b/>
          <w:sz w:val="28"/>
          <w:szCs w:val="28"/>
        </w:rPr>
        <w:t xml:space="preserve"> </w:t>
      </w:r>
      <w:r>
        <w:rPr>
          <w:b/>
          <w:sz w:val="28"/>
          <w:szCs w:val="28"/>
        </w:rPr>
        <w:t>По категориям участников дорожного движения показатели распределились следующим образом</w:t>
      </w:r>
      <w:r>
        <w:rPr>
          <w:sz w:val="28"/>
          <w:szCs w:val="28"/>
        </w:rPr>
        <w:t xml:space="preserve">: </w:t>
      </w:r>
    </w:p>
    <w:p>
      <w:pPr>
        <w:pStyle w:val="Normal"/>
        <w:ind w:left="-709" w:firstLine="720"/>
        <w:jc w:val="both"/>
        <w:rPr>
          <w:sz w:val="28"/>
          <w:szCs w:val="28"/>
        </w:rPr>
      </w:pPr>
      <w:r>
        <w:rPr>
          <w:sz w:val="28"/>
          <w:szCs w:val="28"/>
        </w:rPr>
        <w:t xml:space="preserve">         </w:t>
      </w:r>
      <w:r>
        <w:rPr>
          <w:sz w:val="28"/>
          <w:szCs w:val="28"/>
        </w:rPr>
        <w:t xml:space="preserve">С участием </w:t>
      </w:r>
      <w:r>
        <w:rPr>
          <w:b/>
          <w:i/>
          <w:sz w:val="28"/>
          <w:szCs w:val="28"/>
        </w:rPr>
        <w:t>детей - пассажиров</w:t>
      </w:r>
      <w:r>
        <w:rPr>
          <w:sz w:val="28"/>
          <w:szCs w:val="28"/>
        </w:rPr>
        <w:t xml:space="preserve"> зарегистрировано 76 </w:t>
        <w:br/>
        <w:t xml:space="preserve">(77; -1,3%) ДТП, в которых пострадали 89 (99; -10,1%) детей </w:t>
        <w:br/>
        <w:t xml:space="preserve">и 4 (8; -50%) погибли. Из них в возрасте до 12 лет травмированы 68 детей (60; +13,3%) и 3 погибли (7; -57%). </w:t>
      </w:r>
    </w:p>
    <w:p>
      <w:pPr>
        <w:pStyle w:val="Normal"/>
        <w:ind w:left="-709" w:firstLine="720"/>
        <w:jc w:val="both"/>
        <w:rPr>
          <w:sz w:val="28"/>
          <w:szCs w:val="28"/>
        </w:rPr>
      </w:pPr>
      <w:r>
        <w:rPr>
          <w:sz w:val="28"/>
          <w:szCs w:val="28"/>
        </w:rPr>
        <w:t>Доля ДТП с участием детей - пассажиров от общего показателя аварийности с участием детей составила 38%.</w:t>
      </w:r>
    </w:p>
    <w:p>
      <w:pPr>
        <w:pStyle w:val="Normal"/>
        <w:ind w:left="-709" w:firstLine="720"/>
        <w:jc w:val="both"/>
        <w:rPr>
          <w:color w:val="000000" w:themeColor="text1"/>
          <w:sz w:val="28"/>
          <w:szCs w:val="28"/>
        </w:rPr>
      </w:pPr>
      <w:r>
        <w:rPr>
          <w:color w:val="000000" w:themeColor="text1"/>
          <w:sz w:val="28"/>
          <w:szCs w:val="28"/>
        </w:rPr>
        <w:t>38 ДТП (-2,6%) с пострадавшими детьми-пассажирами произошли по причине нарушения ПДД РФ водителем, в чьем транспортном средстве находились дети, в этих авариях пострадали 46 детей и 3 погибли.</w:t>
      </w:r>
    </w:p>
    <w:p>
      <w:pPr>
        <w:pStyle w:val="Normal"/>
        <w:ind w:left="-709" w:firstLine="426"/>
        <w:jc w:val="center"/>
        <w:rPr>
          <w:sz w:val="28"/>
          <w:szCs w:val="28"/>
        </w:rPr>
      </w:pPr>
      <w:r>
        <w:rPr/>
        <w:drawing>
          <wp:inline distT="0" distB="0" distL="0" distR="0">
            <wp:extent cx="4114800" cy="1381125"/>
            <wp:effectExtent l="0" t="0" r="0" b="0"/>
            <wp:docPr id="1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pStyle w:val="Normal"/>
        <w:ind w:left="-709" w:firstLine="720"/>
        <w:jc w:val="both"/>
        <w:rPr>
          <w:sz w:val="28"/>
          <w:szCs w:val="28"/>
        </w:rPr>
      </w:pPr>
      <w:r>
        <w:rPr>
          <w:sz w:val="28"/>
          <w:szCs w:val="28"/>
        </w:rPr>
        <w:t xml:space="preserve">В 6 ДТП водители перевозили юных пассажиров в возрасте до 12 лет с нарушением правил перевозки детей, в этих авариях травмированы </w:t>
        <w:br/>
        <w:t>6 несовершеннолетних (16; -62,5%).</w:t>
      </w:r>
    </w:p>
    <w:p>
      <w:pPr>
        <w:pStyle w:val="Normal"/>
        <w:ind w:left="-709" w:firstLine="720"/>
        <w:jc w:val="both"/>
        <w:rPr>
          <w:sz w:val="28"/>
          <w:szCs w:val="28"/>
        </w:rPr>
      </w:pPr>
      <w:r>
        <w:rPr>
          <w:sz w:val="28"/>
          <w:szCs w:val="28"/>
        </w:rPr>
        <w:t xml:space="preserve">Подавляющее большинство происшествий, в которых пострадали дети-пассажиры - это столкновения транспортных средств (67, +4,7%), количество травмированных в них детей увеличилось на 1,3% (81), погибших уменьшилось на 62,5% (3). </w:t>
      </w:r>
    </w:p>
    <w:p>
      <w:pPr>
        <w:pStyle w:val="Normal"/>
        <w:ind w:left="-709" w:firstLine="720"/>
        <w:jc w:val="both"/>
        <w:rPr>
          <w:sz w:val="28"/>
          <w:szCs w:val="28"/>
        </w:rPr>
      </w:pPr>
      <w:r>
        <w:rPr>
          <w:sz w:val="28"/>
          <w:szCs w:val="28"/>
        </w:rPr>
        <w:t xml:space="preserve">Устойчивый рост количества ДТП с участием детей-пассажиров зарегистрирован с 11.00 до 17.00 (40 ДТП, 1 погиб, 45 ранены). На 71,4% увеличилось количество аварий в пятницу (12 ДТП, 1 погиб, 16 ранены), на 45,5% в субботу </w:t>
        <w:br/>
        <w:t xml:space="preserve">(16 ДТП, 19 ранены) и на 28,6% в воскресенье (18 ДТП, 22 ранены). Еще одно ДТП с погибшим ребенком зарегистрировано во вторник. </w:t>
      </w:r>
    </w:p>
    <w:p>
      <w:pPr>
        <w:pStyle w:val="Normal"/>
        <w:ind w:left="-709" w:firstLine="720"/>
        <w:jc w:val="both"/>
        <w:rPr>
          <w:sz w:val="28"/>
          <w:szCs w:val="28"/>
        </w:rPr>
      </w:pPr>
      <w:r>
        <w:drawing>
          <wp:anchor behindDoc="0" distT="0" distB="0" distL="114300" distR="114300" simplePos="0" locked="0" layoutInCell="0" allowOverlap="1" relativeHeight="2">
            <wp:simplePos x="0" y="0"/>
            <wp:positionH relativeFrom="margin">
              <wp:posOffset>4749165</wp:posOffset>
            </wp:positionH>
            <wp:positionV relativeFrom="paragraph">
              <wp:posOffset>57150</wp:posOffset>
            </wp:positionV>
            <wp:extent cx="1333500" cy="1127760"/>
            <wp:effectExtent l="0" t="0" r="0" b="0"/>
            <wp:wrapSquare wrapText="bothSides"/>
            <wp:docPr id="12" name="Рисунок 13" descr="C:\Кравченко\Анализ ДДТТ\Аварийность\2020\Картинки\419d75ab8a1018d5f1a1a201864f61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3" descr="C:\Кравченко\Анализ ДДТТ\Аварийность\2020\Картинки\419d75ab8a1018d5f1a1a201864f61a0.jpg"/>
                    <pic:cNvPicPr>
                      <a:picLocks noChangeAspect="1" noChangeArrowheads="1"/>
                    </pic:cNvPicPr>
                  </pic:nvPicPr>
                  <pic:blipFill>
                    <a:blip r:embed="rId13"/>
                    <a:stretch>
                      <a:fillRect/>
                    </a:stretch>
                  </pic:blipFill>
                  <pic:spPr bwMode="auto">
                    <a:xfrm>
                      <a:off x="0" y="0"/>
                      <a:ext cx="1333500" cy="1127760"/>
                    </a:xfrm>
                    <a:prstGeom prst="rect">
                      <a:avLst/>
                    </a:prstGeom>
                  </pic:spPr>
                </pic:pic>
              </a:graphicData>
            </a:graphic>
          </wp:anchor>
        </w:drawing>
      </w:r>
      <w:r>
        <w:rPr>
          <w:sz w:val="28"/>
          <w:szCs w:val="28"/>
        </w:rPr>
        <w:t>С участием</w:t>
      </w:r>
      <w:r>
        <w:rPr>
          <w:b/>
          <w:i/>
          <w:sz w:val="28"/>
          <w:szCs w:val="28"/>
        </w:rPr>
        <w:t xml:space="preserve"> детей-пешеходов </w:t>
      </w:r>
      <w:r>
        <w:rPr>
          <w:sz w:val="28"/>
          <w:szCs w:val="28"/>
        </w:rPr>
        <w:t xml:space="preserve">зарегистрировано </w:t>
        <w:br/>
        <w:t>84 ДТП (70; +20%), в которых пострадали 86 (71; +21,1%) детей. От общего показателя аварийности с участием несовершеннолетних доля ДТП с участием детей- пешеходов составила 41,5%.</w:t>
      </w:r>
    </w:p>
    <w:p>
      <w:pPr>
        <w:pStyle w:val="Normal"/>
        <w:ind w:left="-709" w:firstLine="720"/>
        <w:jc w:val="both"/>
        <w:rPr>
          <w:sz w:val="28"/>
          <w:szCs w:val="28"/>
        </w:rPr>
      </w:pPr>
      <w:r>
        <w:rPr>
          <w:sz w:val="28"/>
          <w:szCs w:val="28"/>
        </w:rPr>
        <w:t>33 ДТП (-13,2%) произошли по причине собственной неосторожности несовершеннолетних пешеходов, в этих авариях пострадал 34 ребенка (-8,1%).</w:t>
      </w:r>
    </w:p>
    <w:p>
      <w:pPr>
        <w:pStyle w:val="Normal"/>
        <w:ind w:left="-709" w:firstLine="720"/>
        <w:jc w:val="both"/>
        <w:rPr>
          <w:sz w:val="28"/>
          <w:szCs w:val="28"/>
        </w:rPr>
      </w:pPr>
      <w:r>
        <w:rPr>
          <w:sz w:val="28"/>
          <w:szCs w:val="28"/>
        </w:rPr>
        <w:t xml:space="preserve">75% наездов на детей (42) совершены на пешеходных переходах. В таких происшествиях1 ребенок погиб и 42 травмированы (+75%). </w:t>
      </w:r>
    </w:p>
    <w:p>
      <w:pPr>
        <w:pStyle w:val="Normal"/>
        <w:ind w:left="-709" w:firstLine="720"/>
        <w:jc w:val="both"/>
        <w:rPr>
          <w:sz w:val="28"/>
          <w:szCs w:val="28"/>
        </w:rPr>
      </w:pPr>
      <w:r>
        <w:rPr>
          <w:sz w:val="28"/>
          <w:szCs w:val="28"/>
        </w:rPr>
        <w:t xml:space="preserve">Количество происшествий с детьми-пешеходами в темное время суток осталось на уровне прошлого года (6 ДТП, 6 ранены). Одним из сопутствующих факторов таких ДТП стало отсутствие на верхней одежде или рюкзаке ребенка световозвращающих элементов. </w:t>
      </w:r>
    </w:p>
    <w:p>
      <w:pPr>
        <w:pStyle w:val="Normal"/>
        <w:ind w:left="-709" w:firstLine="720"/>
        <w:jc w:val="both"/>
        <w:rPr>
          <w:sz w:val="28"/>
          <w:szCs w:val="28"/>
        </w:rPr>
      </w:pPr>
      <w:r>
        <w:rPr>
          <w:sz w:val="28"/>
          <w:szCs w:val="28"/>
        </w:rPr>
        <w:t>По возрастным характеристикам, зарегистрирован рост ДТП с участием детей в возрасте 8-10 лет (22 ДТП, 1 погиб, +87%), 11-13 лет (22 ДТП, +157%), 14-15 лет (9 ДТП, +50%), 5 лет (5 ДТП, +25%). Все наезды произошли в городах и населенных пунктах. По дням недели показатели количества ДТП с участием детей-пешеходов увеличились на 200% в субботу (7 ДТП), на 143% в понедельник (17 ДТП) и на 84,6% во вторник (24 ДТП). 13 ДТП зарегистрированы в четверг (уровень АППГ), 12 ДТП произошли в пятницу (уровень АППГ), 7 ДТП в среду (-53,3%) и 4 ДТП в воскресенье (-50%). По времени совершения рост дорожных аварий зафиксирован в период с 11 до 15 часов (25 ДТП; +500%) и с 17 до 20 часов (31 ДТП; +230%).</w:t>
      </w:r>
    </w:p>
    <w:p>
      <w:pPr>
        <w:pStyle w:val="Normal"/>
        <w:ind w:left="-709" w:firstLine="720"/>
        <w:jc w:val="both"/>
        <w:rPr>
          <w:color w:val="FF0000"/>
          <w:sz w:val="28"/>
          <w:szCs w:val="28"/>
        </w:rPr>
      </w:pPr>
      <w:r>
        <w:rPr>
          <w:color w:val="FF0000"/>
          <w:sz w:val="28"/>
          <w:szCs w:val="28"/>
        </w:rPr>
        <w:t>В 18 случаях (35%) ДТП произошли по маршрутам следования детей из дома в образовательную организацию и обратно: ДОУ № 191, 206, МБОУ СОШ №35 г. Нижний Тагил, МАОУ СОШ №14 г. Верхняя Салда, МБОУ Гимназия № 5 (здание на ул. Хохрякова, 28а), МАОУ Лицей № 12, МАОУ СОШ № 62, МАОУ СОШ №71, МБОУ СОШ №82, МАОУ СОШ № 142, МАОУ Гимназия №155, МАОУ СОШ № 178, МАДОУ №587 г. Екатеринбург, МАОУ СОШ №5 г. Первоуральск, БМАОУ СОШ №2 и БМАОУ Лицей №7 г. Березовский.</w:t>
      </w:r>
    </w:p>
    <w:p>
      <w:pPr>
        <w:pStyle w:val="Normal"/>
        <w:ind w:left="-709" w:firstLine="720"/>
        <w:jc w:val="both"/>
        <w:rPr>
          <w:sz w:val="28"/>
          <w:szCs w:val="28"/>
        </w:rPr>
      </w:pPr>
      <w:r>
        <w:drawing>
          <wp:anchor behindDoc="0" distT="0" distB="0" distL="114300" distR="114300" simplePos="0" locked="0" layoutInCell="0" allowOverlap="1" relativeHeight="3">
            <wp:simplePos x="0" y="0"/>
            <wp:positionH relativeFrom="column">
              <wp:posOffset>-384810</wp:posOffset>
            </wp:positionH>
            <wp:positionV relativeFrom="paragraph">
              <wp:posOffset>125095</wp:posOffset>
            </wp:positionV>
            <wp:extent cx="1916430" cy="962025"/>
            <wp:effectExtent l="0" t="0" r="0" b="0"/>
            <wp:wrapTight wrapText="bothSides">
              <wp:wrapPolygon edited="0">
                <wp:start x="-15" y="0"/>
                <wp:lineTo x="-15" y="21363"/>
                <wp:lineTo x="21459" y="21363"/>
                <wp:lineTo x="21459" y="0"/>
                <wp:lineTo x="-15" y="0"/>
              </wp:wrapPolygon>
            </wp:wrapTight>
            <wp:docPr id="13" name="Рисунок 14" descr="D:\Кравченко\Анализ ДДТТ\Картинки\мот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4" descr="D:\Кравченко\Анализ ДДТТ\Картинки\мото2.jpg"/>
                    <pic:cNvPicPr>
                      <a:picLocks noChangeAspect="1" noChangeArrowheads="1"/>
                    </pic:cNvPicPr>
                  </pic:nvPicPr>
                  <pic:blipFill>
                    <a:blip r:embed="rId14"/>
                    <a:stretch>
                      <a:fillRect/>
                    </a:stretch>
                  </pic:blipFill>
                  <pic:spPr bwMode="auto">
                    <a:xfrm>
                      <a:off x="0" y="0"/>
                      <a:ext cx="1916430" cy="962025"/>
                    </a:xfrm>
                    <a:prstGeom prst="rect">
                      <a:avLst/>
                    </a:prstGeom>
                  </pic:spPr>
                </pic:pic>
              </a:graphicData>
            </a:graphic>
          </wp:anchor>
        </w:drawing>
      </w:r>
      <w:r>
        <w:rPr>
          <w:sz w:val="28"/>
          <w:szCs w:val="28"/>
        </w:rPr>
        <w:t xml:space="preserve">С участием </w:t>
      </w:r>
      <w:r>
        <w:rPr>
          <w:b/>
          <w:i/>
          <w:sz w:val="28"/>
          <w:szCs w:val="28"/>
        </w:rPr>
        <w:t>юных водителей мототранспорта</w:t>
      </w:r>
      <w:r>
        <w:rPr>
          <w:sz w:val="28"/>
          <w:szCs w:val="28"/>
        </w:rPr>
        <w:t xml:space="preserve"> зарегистрировано 14 ДТП (7; +100%), в результате 1 ребенок погиб (+100%) и 13 (7; +85,70%) травмированы. Во всех случаях права управления мототранспортом дети не имели. В 11 случаях дети передвигались на мототехнике в городах и населенных пунктах. Участниками ДТП стали дети-велосипедисты в возрасте 11-15 лет.</w:t>
      </w:r>
    </w:p>
    <w:p>
      <w:pPr>
        <w:pStyle w:val="Normal"/>
        <w:ind w:left="-709" w:firstLine="720"/>
        <w:jc w:val="both"/>
        <w:rPr>
          <w:sz w:val="28"/>
          <w:szCs w:val="28"/>
        </w:rPr>
      </w:pPr>
      <w:r>
        <w:rPr>
          <w:sz w:val="28"/>
          <w:szCs w:val="28"/>
        </w:rPr>
        <w:t xml:space="preserve">С участием </w:t>
      </w:r>
      <w:r>
        <w:rPr>
          <w:b/>
          <w:i/>
          <w:sz w:val="28"/>
          <w:szCs w:val="28"/>
        </w:rPr>
        <w:t>юных велосипедистов</w:t>
      </w:r>
      <w:r>
        <w:rPr>
          <w:sz w:val="28"/>
          <w:szCs w:val="28"/>
        </w:rPr>
        <w:t xml:space="preserve"> зарегистрировано 28 ДТП (20; +166,7%), в результате которых травмированы 30 детей (20; +166,7%). Во всех случаях ДТП дети не использовали средства пассивной защиты (шлем, налокотники, наколенники). </w:t>
        <w:br/>
        <w:t>17 происшествий произошли по собственной неосторожности несовершеннолетних. Участниками ДТП стали дети-велосипедисты в возрасте 6-15 лет, при этом наибольшее количество дорожных аварий отмечается с детьми возрастом 8-11 лет (15 ДТП; +900%).</w:t>
      </w:r>
    </w:p>
    <w:p>
      <w:pPr>
        <w:pStyle w:val="Normal"/>
        <w:ind w:left="-709" w:firstLine="720"/>
        <w:jc w:val="both"/>
        <w:rPr>
          <w:sz w:val="28"/>
          <w:szCs w:val="28"/>
        </w:rPr>
      </w:pPr>
      <w:r>
        <w:rPr>
          <w:sz w:val="28"/>
          <w:szCs w:val="28"/>
        </w:rPr>
      </w:r>
    </w:p>
    <w:p>
      <w:pPr>
        <w:pStyle w:val="Normal"/>
        <w:ind w:left="-709" w:hanging="0"/>
        <w:jc w:val="center"/>
        <w:rPr>
          <w:sz w:val="28"/>
          <w:szCs w:val="28"/>
        </w:rPr>
      </w:pPr>
      <w:r>
        <w:rPr/>
        <w:drawing>
          <wp:inline distT="0" distB="0" distL="0" distR="0">
            <wp:extent cx="5800725" cy="2305050"/>
            <wp:effectExtent l="0" t="0" r="0" b="0"/>
            <wp:docPr id="1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pPr>
        <w:pStyle w:val="Normal"/>
        <w:ind w:left="-709" w:firstLine="720"/>
        <w:jc w:val="both"/>
        <w:rPr>
          <w:sz w:val="28"/>
          <w:szCs w:val="28"/>
        </w:rPr>
      </w:pPr>
      <w:r>
        <w:rPr>
          <w:sz w:val="28"/>
          <w:szCs w:val="28"/>
        </w:rPr>
      </w:r>
    </w:p>
    <w:p>
      <w:pPr>
        <w:pStyle w:val="Normal"/>
        <w:ind w:left="-709" w:firstLine="720"/>
        <w:jc w:val="both"/>
        <w:rPr>
          <w:sz w:val="28"/>
          <w:szCs w:val="28"/>
        </w:rPr>
      </w:pPr>
      <w:r>
        <w:rPr>
          <w:sz w:val="28"/>
          <w:szCs w:val="28"/>
        </w:rPr>
        <w:t xml:space="preserve">Причинами подавляющего большинства происшествий стали грубые нарушения ПДД РФ водителями транспортных средств (превышение скоростного режима, выезд на полосу встречного движения, несоблюдение правил проезда пешеходных переходов). </w:t>
      </w:r>
    </w:p>
    <w:p>
      <w:pPr>
        <w:pStyle w:val="Normal"/>
        <w:ind w:left="-709" w:firstLine="720"/>
        <w:jc w:val="both"/>
        <w:rPr>
          <w:sz w:val="28"/>
          <w:szCs w:val="28"/>
        </w:rPr>
      </w:pPr>
      <w:r>
        <w:rPr>
          <w:sz w:val="28"/>
          <w:szCs w:val="28"/>
        </w:rPr>
        <w:t xml:space="preserve">Вина несовершеннолетних усматривается в 61 ДТП из 202 и составляет 30% от общего количества дорожных аварий с участием детей: Екатеринбург </w:t>
        <w:br/>
        <w:t>29 (уровень АППГ), Нижний Тагил 10 (+150%), Каменск-Уральский 2 (+100%), Сысерть 3 (-25%), Ирбит, Первоуральск по 2 ДТП и Богданович, Новая Ляля, Новоуральск, Ревда, Сухой Лог, Свободный, Тугулым, Шаля, (+100%), Полевской, Березовский, Краснотурьинск, Красноуфимск (уровень АППГ), Верхняя Салда (-50%) по 1 ДТП. Основными нарушениями ПДД РФ, допущенными юными пешеходами, стали переход проезжей части в неустановленном месте, в зоне видимости пешеходного перехода (21), неподчинение сигналам регулирования (11) и неожиданный выход на дорогу из-за сооружений или деревьев (1).</w:t>
      </w:r>
    </w:p>
    <w:p>
      <w:pPr>
        <w:pStyle w:val="Normal"/>
        <w:ind w:left="-709" w:firstLine="720"/>
        <w:jc w:val="both"/>
        <w:rPr>
          <w:sz w:val="28"/>
          <w:szCs w:val="28"/>
        </w:rPr>
      </w:pPr>
      <w:r>
        <w:rPr>
          <w:sz w:val="28"/>
          <w:szCs w:val="28"/>
        </w:rPr>
      </w:r>
    </w:p>
    <w:p>
      <w:pPr>
        <w:pStyle w:val="Normal"/>
        <w:ind w:left="-709" w:hanging="0"/>
        <w:jc w:val="both"/>
        <w:rPr>
          <w:sz w:val="28"/>
          <w:szCs w:val="28"/>
        </w:rPr>
      </w:pPr>
      <w:r>
        <w:rPr/>
        <w:drawing>
          <wp:inline distT="0" distB="0" distL="0" distR="0">
            <wp:extent cx="6496050" cy="2720975"/>
            <wp:effectExtent l="0" t="0" r="0" b="0"/>
            <wp:docPr id="15"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pPr>
        <w:pStyle w:val="Normal"/>
        <w:ind w:left="-709" w:firstLine="720"/>
        <w:jc w:val="both"/>
        <w:rPr>
          <w:sz w:val="28"/>
          <w:szCs w:val="28"/>
        </w:rPr>
      </w:pPr>
      <w:r>
        <w:rPr>
          <w:sz w:val="28"/>
          <w:szCs w:val="28"/>
        </w:rPr>
      </w:r>
    </w:p>
    <w:p>
      <w:pPr>
        <w:pStyle w:val="Normal"/>
        <w:ind w:left="-709" w:firstLine="720"/>
        <w:jc w:val="both"/>
        <w:rPr>
          <w:sz w:val="28"/>
          <w:szCs w:val="28"/>
        </w:rPr>
      </w:pPr>
      <w:r>
        <w:rPr/>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 w:name="SchoolBook">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873f9"/>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Style14">
    <w:name w:val="Выделение"/>
    <w:qFormat/>
    <w:rsid w:val="005873f9"/>
    <w:rPr>
      <w:i/>
      <w:iCs/>
    </w:rPr>
  </w:style>
  <w:style w:type="character" w:styleId="Style15" w:customStyle="1">
    <w:name w:val="Текст выноски Знак"/>
    <w:basedOn w:val="DefaultParagraphFont"/>
    <w:link w:val="a5"/>
    <w:uiPriority w:val="99"/>
    <w:semiHidden/>
    <w:qFormat/>
    <w:rsid w:val="002d46bb"/>
    <w:rPr>
      <w:rFonts w:ascii="Segoe UI" w:hAnsi="Segoe UI" w:eastAsia="Times New Roman" w:cs="Segoe UI"/>
      <w:sz w:val="18"/>
      <w:szCs w:val="18"/>
      <w:lang w:eastAsia="ru-RU"/>
    </w:rPr>
  </w:style>
  <w:style w:type="paragraph" w:styleId="Style16">
    <w:name w:val="Заголовок"/>
    <w:basedOn w:val="Normal"/>
    <w:next w:val="Style17"/>
    <w:qFormat/>
    <w:pPr>
      <w:keepNext w:val="true"/>
      <w:spacing w:before="240" w:after="120"/>
    </w:pPr>
    <w:rPr>
      <w:rFonts w:ascii="Liberation Sans" w:hAnsi="Liberation Sans" w:eastAsia="Microsoft YaHei" w:cs="Arial Unicode MS"/>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Unicode MS"/>
    </w:rPr>
  </w:style>
  <w:style w:type="paragraph" w:styleId="Style19">
    <w:name w:val="Caption"/>
    <w:basedOn w:val="Normal"/>
    <w:qFormat/>
    <w:pPr>
      <w:suppressLineNumbers/>
      <w:spacing w:before="120" w:after="120"/>
    </w:pPr>
    <w:rPr>
      <w:rFonts w:cs="Arial Unicode MS"/>
      <w:i/>
      <w:iCs/>
      <w:sz w:val="24"/>
      <w:szCs w:val="24"/>
    </w:rPr>
  </w:style>
  <w:style w:type="paragraph" w:styleId="Style20">
    <w:name w:val="Указатель"/>
    <w:basedOn w:val="Normal"/>
    <w:qFormat/>
    <w:pPr>
      <w:suppressLineNumbers/>
    </w:pPr>
    <w:rPr>
      <w:rFonts w:cs="Arial Unicode MS"/>
    </w:rPr>
  </w:style>
  <w:style w:type="paragraph" w:styleId="NoSpacing">
    <w:name w:val="No Spacing"/>
    <w:uiPriority w:val="1"/>
    <w:qFormat/>
    <w:rsid w:val="005873f9"/>
    <w:pPr>
      <w:widowControl/>
      <w:suppressAutoHyphens w:val="true"/>
      <w:bidi w:val="0"/>
      <w:spacing w:lineRule="auto" w:line="240" w:before="0" w:after="0"/>
      <w:jc w:val="left"/>
    </w:pPr>
    <w:rPr>
      <w:rFonts w:ascii="SchoolBook" w:hAnsi="SchoolBook" w:eastAsia="Calibri" w:cs="Times New Roman" w:eastAsiaTheme="minorHAnsi"/>
      <w:color w:val="auto"/>
      <w:kern w:val="0"/>
      <w:sz w:val="28"/>
      <w:szCs w:val="28"/>
      <w:lang w:val="ru-RU" w:eastAsia="en-US" w:bidi="ar-SA"/>
    </w:rPr>
  </w:style>
  <w:style w:type="paragraph" w:styleId="ConsPlusNormal" w:customStyle="1">
    <w:name w:val="ConsPlusNormal"/>
    <w:qFormat/>
    <w:rsid w:val="005873f9"/>
    <w:pPr>
      <w:widowControl w:val="false"/>
      <w:suppressAutoHyphens w:val="true"/>
      <w:bidi w:val="0"/>
      <w:spacing w:lineRule="auto" w:line="240" w:before="0" w:after="0"/>
      <w:ind w:firstLine="720"/>
      <w:jc w:val="left"/>
    </w:pPr>
    <w:rPr>
      <w:rFonts w:ascii="Arial" w:hAnsi="Arial" w:eastAsia="Times New Roman" w:cs="Arial"/>
      <w:color w:val="auto"/>
      <w:kern w:val="0"/>
      <w:sz w:val="20"/>
      <w:szCs w:val="20"/>
      <w:lang w:val="ru-RU" w:eastAsia="ru-RU" w:bidi="ar-SA"/>
    </w:rPr>
  </w:style>
  <w:style w:type="paragraph" w:styleId="BalloonText">
    <w:name w:val="Balloon Text"/>
    <w:basedOn w:val="Normal"/>
    <w:link w:val="a6"/>
    <w:uiPriority w:val="99"/>
    <w:semiHidden/>
    <w:unhideWhenUsed/>
    <w:qFormat/>
    <w:rsid w:val="002d46bb"/>
    <w:pPr/>
    <w:rPr>
      <w:rFonts w:ascii="Segoe UI" w:hAnsi="Segoe UI" w:cs="Segoe UI"/>
      <w:sz w:val="18"/>
      <w:szCs w:val="18"/>
    </w:rPr>
  </w:style>
  <w:style w:type="paragraph" w:styleId="Style21">
    <w:name w:val="Содержимое таблицы"/>
    <w:basedOn w:val="Normal"/>
    <w:qFormat/>
    <w:pPr>
      <w:widowControl w:val="false"/>
      <w:suppressLineNumbers/>
    </w:pPr>
    <w:rPr/>
  </w:style>
  <w:style w:type="paragraph" w:styleId="Style22">
    <w:name w:val="Заголовок таблицы"/>
    <w:basedOn w:val="Style21"/>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hart" Target="charts/chart1.xml"/><Relationship Id="rId3" Type="http://schemas.openxmlformats.org/officeDocument/2006/relationships/chart" Target="charts/chart2.xml"/><Relationship Id="rId4" Type="http://schemas.openxmlformats.org/officeDocument/2006/relationships/chart" Target="charts/chart3.xml"/><Relationship Id="rId5" Type="http://schemas.openxmlformats.org/officeDocument/2006/relationships/chart" Target="charts/chart4.xml"/><Relationship Id="rId6" Type="http://schemas.openxmlformats.org/officeDocument/2006/relationships/chart" Target="charts/chart5.xml"/><Relationship Id="rId7" Type="http://schemas.openxmlformats.org/officeDocument/2006/relationships/chart" Target="charts/chart6.xml"/><Relationship Id="rId8" Type="http://schemas.openxmlformats.org/officeDocument/2006/relationships/chart" Target="charts/chart7.xml"/><Relationship Id="rId9" Type="http://schemas.openxmlformats.org/officeDocument/2006/relationships/chart" Target="charts/chart8.xml"/><Relationship Id="rId10" Type="http://schemas.openxmlformats.org/officeDocument/2006/relationships/chart" Target="charts/chart9.xml"/><Relationship Id="rId11" Type="http://schemas.openxmlformats.org/officeDocument/2006/relationships/image" Target="media/image1.png"/><Relationship Id="rId12" Type="http://schemas.openxmlformats.org/officeDocument/2006/relationships/chart" Target="charts/chart10.xml"/><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chart" Target="charts/chart11.xml"/><Relationship Id="rId16" Type="http://schemas.openxmlformats.org/officeDocument/2006/relationships/chart" Target="charts/chart12.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charts/_rels/chart1.xml.rels><?xml version="1.0" encoding="UTF-8"?>
<Relationships xmlns="http://schemas.openxmlformats.org/package/2006/relationships"><Relationship Id="rId1" Type="http://schemas.openxmlformats.org/officeDocument/2006/relationships/package" Target="../embeddings/_____Microsoft_Excel1.xlsx"/>
</Relationships>
</file>

<file path=word/charts/_rels/chart2.xml.rels><?xml version="1.0" encoding="UTF-8"?>
<Relationships xmlns="http://schemas.openxmlformats.org/package/2006/relationships"><Relationship Id="rId1" Type="http://schemas.openxmlformats.org/officeDocument/2006/relationships/package" Target="../embeddings/_____Microsoft_Excel2.xlsx"/>
</Relationships>
</file>

<file path=word/charts/_rels/chart3.xml.rels><?xml version="1.0" encoding="UTF-8"?>
<Relationships xmlns="http://schemas.openxmlformats.org/package/2006/relationships"><Relationship Id="rId1" Type="http://schemas.openxmlformats.org/officeDocument/2006/relationships/package" Target="../embeddings/_____Microsoft_Excel3.xlsx"/>
</Relationships>
</file>

<file path=word/charts/_rels/chart4.xml.rels><?xml version="1.0" encoding="UTF-8"?>
<Relationships xmlns="http://schemas.openxmlformats.org/package/2006/relationships"><Relationship Id="rId1" Type="http://schemas.openxmlformats.org/officeDocument/2006/relationships/package" Target="../embeddings/_____Microsoft_Excel4.xlsx"/>
</Relationships>
</file>

<file path=word/charts/_rels/chart5.xml.rels><?xml version="1.0" encoding="UTF-8"?>
<Relationships xmlns="http://schemas.openxmlformats.org/package/2006/relationships"><Relationship Id="rId1" Type="http://schemas.openxmlformats.org/officeDocument/2006/relationships/package" Target="../embeddings/_____Microsoft_Excel5.xlsx"/>
</Relationships>
</file>

<file path=word/charts/_rels/chart6.xml.rels><?xml version="1.0" encoding="UTF-8"?>
<Relationships xmlns="http://schemas.openxmlformats.org/package/2006/relationships"><Relationship Id="rId1" Type="http://schemas.openxmlformats.org/officeDocument/2006/relationships/package" Target="../embeddings/_____Microsoft_Excel6.xlsx"/>
</Relationships>
</file>

<file path=word/charts/_rels/chart7.xml.rels><?xml version="1.0" encoding="UTF-8"?>
<Relationships xmlns="http://schemas.openxmlformats.org/package/2006/relationships"><Relationship Id="rId1" Type="http://schemas.openxmlformats.org/officeDocument/2006/relationships/package" Target="../embeddings/_____Microsoft_Excel7.xlsx"/>
</Relationships>
</file>

<file path=word/charts/_rels/chart8.xml.rels><?xml version="1.0" encoding="UTF-8"?>
<Relationships xmlns="http://schemas.openxmlformats.org/package/2006/relationships"><Relationship Id="rId1" Type="http://schemas.openxmlformats.org/officeDocument/2006/relationships/package" Target="../embeddings/_____Microsoft_Excel8.xlsx"/>
</Relationships>
</file>

<file path=word/charts/_rels/chart9.xml.rels><?xml version="1.0" encoding="UTF-8"?>
<Relationships xmlns="http://schemas.openxmlformats.org/package/2006/relationships"><Relationship Id="rId1" Type="http://schemas.openxmlformats.org/officeDocument/2006/relationships/package" Target="../embeddings/_____Microsoft_Excel9.xlsx"/>
</Relationships>
</file>

<file path=word/charts/_rels/chart10.xml.rels><?xml version="1.0" encoding="UTF-8"?>
<Relationships xmlns="http://schemas.openxmlformats.org/package/2006/relationships"><Relationship Id="rId1" Type="http://schemas.openxmlformats.org/officeDocument/2006/relationships/package" Target="../embeddings/_____Microsoft_Excel10.xlsx"/>
</Relationships>
</file>

<file path=word/charts/_rels/chart11.xml.rels><?xml version="1.0" encoding="UTF-8"?>
<Relationships xmlns="http://schemas.openxmlformats.org/package/2006/relationships"><Relationship Id="rId1" Type="http://schemas.openxmlformats.org/officeDocument/2006/relationships/package" Target="../embeddings/_____Microsoft_Excel11.xlsx"/>
</Relationships>
</file>

<file path=word/charts/_rels/chart12.xml.rels><?xml version="1.0" encoding="UTF-8"?>
<Relationships xmlns="http://schemas.openxmlformats.org/package/2006/relationships"><Relationship Id="rId1" Type="http://schemas.openxmlformats.org/officeDocument/2006/relationships/package" Target="../embeddings/_____Microsoft_Excel12.xlsx"/>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barChart>
        <c:barDir val="col"/>
        <c:grouping val="clustered"/>
        <c:varyColors val="0"/>
        <c:ser>
          <c:idx val="0"/>
          <c:order val="0"/>
          <c:tx>
            <c:strRef>
              <c:f>label 0</c:f>
              <c:strCache>
                <c:ptCount val="1"/>
                <c:pt idx="0">
                  <c:v>2022</c:v>
                </c:pt>
              </c:strCache>
            </c:strRef>
          </c:tx>
          <c:spPr>
            <a:solidFill>
              <a:srgbClr val="5b9bd5"/>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3"/>
                <c:pt idx="0">
                  <c:v>ДТП</c:v>
                </c:pt>
                <c:pt idx="1">
                  <c:v>Погибло</c:v>
                </c:pt>
                <c:pt idx="2">
                  <c:v>Ранено</c:v>
                </c:pt>
              </c:strCache>
            </c:strRef>
          </c:cat>
          <c:val>
            <c:numRef>
              <c:f>0</c:f>
              <c:numCache>
                <c:formatCode>General</c:formatCode>
                <c:ptCount val="3"/>
                <c:pt idx="0">
                  <c:v>175</c:v>
                </c:pt>
                <c:pt idx="1">
                  <c:v>11</c:v>
                </c:pt>
                <c:pt idx="2">
                  <c:v>200</c:v>
                </c:pt>
              </c:numCache>
            </c:numRef>
          </c:val>
        </c:ser>
        <c:ser>
          <c:idx val="1"/>
          <c:order val="1"/>
          <c:tx>
            <c:strRef>
              <c:f>label 1</c:f>
              <c:strCache>
                <c:ptCount val="1"/>
                <c:pt idx="0">
                  <c:v>2023</c:v>
                </c:pt>
              </c:strCache>
            </c:strRef>
          </c:tx>
          <c:spPr>
            <a:solidFill>
              <a:srgbClr val="ed7d31"/>
            </a:solidFill>
            <a:ln w="0">
              <a:noFill/>
            </a:ln>
          </c:spPr>
          <c:invertIfNegative val="0"/>
          <c:dPt>
            <c:idx val="0"/>
            <c:invertIfNegative val="0"/>
            <c:spPr>
              <a:solidFill>
                <a:srgbClr val="ed7d31"/>
              </a:solidFill>
              <a:ln w="0">
                <a:noFill/>
              </a:ln>
            </c:spPr>
          </c:dPt>
          <c:dPt>
            <c:idx val="1"/>
            <c:invertIfNegative val="0"/>
            <c:spPr>
              <a:solidFill>
                <a:srgbClr val="ed7d31"/>
              </a:solidFill>
              <a:ln w="0">
                <a:noFill/>
              </a:ln>
            </c:spPr>
          </c:dPt>
          <c:dPt>
            <c:idx val="2"/>
            <c:invertIfNegative val="0"/>
            <c:spPr>
              <a:solidFill>
                <a:srgbClr val="ed7d31"/>
              </a:solidFill>
              <a:ln w="0">
                <a:noFill/>
              </a:ln>
            </c:spPr>
          </c:dPt>
          <c:dLbls>
            <c:numFmt formatCode="General" sourceLinked="0"/>
            <c:dLbl>
              <c:idx val="0"/>
              <c:layout>
                <c:manualLayout>
                  <c:x val="0.0376175548589342"/>
                  <c:y val="-0.00716845878136201"/>
                </c:manualLayout>
              </c:layout>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1"/>
              <c:layout>
                <c:manualLayout>
                  <c:x val="0.0334378265412748"/>
                  <c:y val="-6.57101130736516E-017"/>
                </c:manualLayout>
              </c:layout>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2"/>
              <c:layout>
                <c:manualLayout>
                  <c:x val="0.0334378265412748"/>
                  <c:y val="-1.64275282684129E-017"/>
                </c:manualLayout>
              </c:layout>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3"/>
                <c:pt idx="0">
                  <c:v>ДТП</c:v>
                </c:pt>
                <c:pt idx="1">
                  <c:v>Погибло</c:v>
                </c:pt>
                <c:pt idx="2">
                  <c:v>Ранено</c:v>
                </c:pt>
              </c:strCache>
            </c:strRef>
          </c:cat>
          <c:val>
            <c:numRef>
              <c:f>1</c:f>
              <c:numCache>
                <c:formatCode>General</c:formatCode>
                <c:ptCount val="3"/>
                <c:pt idx="0">
                  <c:v>202</c:v>
                </c:pt>
                <c:pt idx="1">
                  <c:v>6</c:v>
                </c:pt>
                <c:pt idx="2">
                  <c:v>218</c:v>
                </c:pt>
              </c:numCache>
            </c:numRef>
          </c:val>
        </c:ser>
        <c:gapWidth val="150"/>
        <c:overlap val="0"/>
        <c:axId val="64737991"/>
        <c:axId val="44382878"/>
      </c:barChart>
      <c:catAx>
        <c:axId val="64737991"/>
        <c:scaling>
          <c:orientation val="minMax"/>
        </c:scaling>
        <c:delete val="0"/>
        <c:axPos val="b"/>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44382878"/>
        <c:crosses val="autoZero"/>
        <c:auto val="1"/>
        <c:lblAlgn val="ctr"/>
        <c:lblOffset val="100"/>
        <c:noMultiLvlLbl val="0"/>
      </c:catAx>
      <c:valAx>
        <c:axId val="44382878"/>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64737991"/>
        <c:crosses val="autoZero"/>
        <c:crossBetween val="between"/>
      </c:valAx>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200" spc="-1" strike="noStrike">
                <a:solidFill>
                  <a:srgbClr val="595959"/>
                </a:solidFill>
                <a:latin typeface="Calibri"/>
              </a:defRPr>
            </a:pPr>
            <a:r>
              <a:rPr b="0" lang="ru-RU" sz="1200" spc="-1" strike="noStrike">
                <a:solidFill>
                  <a:srgbClr val="595959"/>
                </a:solidFill>
                <a:latin typeface="Calibri"/>
              </a:rPr>
              <a:t>Территории, где зарегистрирован рост ДТП</a:t>
            </a:r>
          </a:p>
        </c:rich>
      </c:tx>
      <c:overlay val="0"/>
      <c:spPr>
        <a:noFill/>
        <a:ln w="0">
          <a:noFill/>
        </a:ln>
      </c:spPr>
    </c:title>
    <c:autoTitleDeleted val="0"/>
    <c:view3D>
      <c:rotX val="15"/>
      <c:rotY val="20"/>
      <c:rAngAx val="0"/>
      <c:perspective val="30"/>
    </c:view3D>
    <c:floor>
      <c:spPr>
        <a:noFill/>
        <a:ln w="6480">
          <a:noFill/>
        </a:ln>
      </c:spPr>
    </c:floor>
    <c:sideWall>
      <c:spPr>
        <a:noFill/>
        <a:ln w="6480">
          <a:noFill/>
        </a:ln>
      </c:spPr>
    </c:sideWall>
    <c:backWall>
      <c:spPr>
        <a:noFill/>
        <a:ln w="6480">
          <a:noFill/>
        </a:ln>
      </c:spPr>
    </c:backWall>
    <c:plotArea>
      <c:bar3DChart>
        <c:barDir val="bar"/>
        <c:grouping val="percentStacked"/>
        <c:varyColors val="0"/>
        <c:ser>
          <c:idx val="0"/>
          <c:order val="0"/>
          <c:tx>
            <c:strRef>
              <c:f>label 0</c:f>
              <c:strCache>
                <c:ptCount val="1"/>
                <c:pt idx="0">
                  <c:v>ДТП 2022</c:v>
                </c:pt>
              </c:strCache>
            </c:strRef>
          </c:tx>
          <c:spPr>
            <a:solidFill>
              <a:srgbClr val="ed7d31"/>
            </a:solidFill>
            <a:ln w="25560">
              <a:solidFill>
                <a:srgbClr val="ffffff"/>
              </a:solidFill>
              <a:round/>
            </a:ln>
          </c:spPr>
          <c:invertIfNegative val="0"/>
          <c:dPt>
            <c:idx val="7"/>
            <c:invertIfNegative val="0"/>
            <c:spPr>
              <a:solidFill>
                <a:srgbClr val="ed7d31"/>
              </a:solidFill>
              <a:ln w="19080">
                <a:solidFill>
                  <a:srgbClr val="ffffff"/>
                </a:solidFill>
                <a:round/>
              </a:ln>
            </c:spPr>
          </c:dPt>
          <c:dLbls>
            <c:numFmt formatCode="General" sourceLinked="0"/>
            <c:dLbl>
              <c:idx val="7"/>
              <c:layout>
                <c:manualLayout>
                  <c:x val="0.00758865422196057"/>
                  <c:y val="0.00515907836243717"/>
                </c:manualLayout>
              </c:layout>
              <c:numFmt formatCode="General" sourceLinked="0"/>
              <c:txPr>
                <a:bodyPr wrap="square"/>
                <a:lstStyle/>
                <a:p>
                  <a:pPr>
                    <a:defRPr b="0" sz="900" spc="-1" strike="noStrike">
                      <a:solidFill>
                        <a:srgbClr val="404040"/>
                      </a:solidFill>
                      <a:latin typeface="Calibri"/>
                    </a:defRPr>
                  </a:pPr>
                </a:p>
              </c:txPr>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19"/>
                <c:pt idx="0">
                  <c:v>Байкалово</c:v>
                </c:pt>
                <c:pt idx="1">
                  <c:v>Березовский</c:v>
                </c:pt>
                <c:pt idx="2">
                  <c:v>Богданович</c:v>
                </c:pt>
                <c:pt idx="3">
                  <c:v>Верхняя Пышма</c:v>
                </c:pt>
                <c:pt idx="4">
                  <c:v>Ирбит</c:v>
                </c:pt>
                <c:pt idx="5">
                  <c:v>Краснотурьинск</c:v>
                </c:pt>
                <c:pt idx="6">
                  <c:v>Красноуральск</c:v>
                </c:pt>
                <c:pt idx="7">
                  <c:v>Невьянск</c:v>
                </c:pt>
                <c:pt idx="8">
                  <c:v>Нижний Тагил</c:v>
                </c:pt>
                <c:pt idx="9">
                  <c:v>Североуральск</c:v>
                </c:pt>
                <c:pt idx="10">
                  <c:v>Первоуральск</c:v>
                </c:pt>
                <c:pt idx="11">
                  <c:v>Ревда</c:v>
                </c:pt>
                <c:pt idx="12">
                  <c:v>Реж</c:v>
                </c:pt>
                <c:pt idx="13">
                  <c:v>Свободный</c:v>
                </c:pt>
                <c:pt idx="14">
                  <c:v>Сухой Лог</c:v>
                </c:pt>
                <c:pt idx="15">
                  <c:v>Шаля</c:v>
                </c:pt>
                <c:pt idx="16">
                  <c:v>Екатеринбург</c:v>
                </c:pt>
                <c:pt idx="17">
                  <c:v>Качканар</c:v>
                </c:pt>
                <c:pt idx="18">
                  <c:v>Новоуральск</c:v>
                </c:pt>
              </c:strCache>
            </c:strRef>
          </c:cat>
          <c:val>
            <c:numRef>
              <c:f>0</c:f>
              <c:numCache>
                <c:formatCode>General</c:formatCode>
                <c:ptCount val="19"/>
                <c:pt idx="0">
                  <c:v>0</c:v>
                </c:pt>
                <c:pt idx="1">
                  <c:v>2</c:v>
                </c:pt>
                <c:pt idx="2">
                  <c:v>0</c:v>
                </c:pt>
                <c:pt idx="3">
                  <c:v>3</c:v>
                </c:pt>
                <c:pt idx="4">
                  <c:v>0</c:v>
                </c:pt>
                <c:pt idx="5">
                  <c:v>3</c:v>
                </c:pt>
                <c:pt idx="6">
                  <c:v>0</c:v>
                </c:pt>
                <c:pt idx="7">
                  <c:v>3</c:v>
                </c:pt>
                <c:pt idx="8">
                  <c:v>15</c:v>
                </c:pt>
                <c:pt idx="9">
                  <c:v>0</c:v>
                </c:pt>
                <c:pt idx="10">
                  <c:v>3</c:v>
                </c:pt>
                <c:pt idx="11">
                  <c:v>1</c:v>
                </c:pt>
                <c:pt idx="12">
                  <c:v>1</c:v>
                </c:pt>
                <c:pt idx="13">
                  <c:v>0</c:v>
                </c:pt>
                <c:pt idx="14">
                  <c:v>0</c:v>
                </c:pt>
                <c:pt idx="15">
                  <c:v>0</c:v>
                </c:pt>
                <c:pt idx="16">
                  <c:v>79</c:v>
                </c:pt>
                <c:pt idx="17">
                  <c:v>0</c:v>
                </c:pt>
                <c:pt idx="18">
                  <c:v>1</c:v>
                </c:pt>
              </c:numCache>
            </c:numRef>
          </c:val>
        </c:ser>
        <c:ser>
          <c:idx val="1"/>
          <c:order val="1"/>
          <c:tx>
            <c:strRef>
              <c:f>label 1</c:f>
              <c:strCache>
                <c:ptCount val="1"/>
                <c:pt idx="0">
                  <c:v>ДТП 2023</c:v>
                </c:pt>
              </c:strCache>
            </c:strRef>
          </c:tx>
          <c:spPr>
            <a:solidFill>
              <a:srgbClr val="ffc000"/>
            </a:solidFill>
            <a:ln w="25560">
              <a:solidFill>
                <a:srgbClr val="ffffff"/>
              </a:solidFill>
              <a:round/>
            </a:ln>
          </c:spPr>
          <c:invertIfNegative val="0"/>
          <c:dLbls>
            <c:numFmt formatCode="General" sourceLinked="0"/>
            <c:txPr>
              <a:bodyPr wrap="square"/>
              <a:lstStyle/>
              <a:p>
                <a:pPr>
                  <a:defRPr b="0" sz="900" spc="-1" strike="noStrike">
                    <a:solidFill>
                      <a:srgbClr val="404040"/>
                    </a:solidFill>
                    <a:latin typeface="Calibri"/>
                  </a:defRPr>
                </a:pPr>
              </a:p>
            </c:txPr>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19"/>
                <c:pt idx="0">
                  <c:v>Байкалово</c:v>
                </c:pt>
                <c:pt idx="1">
                  <c:v>Березовский</c:v>
                </c:pt>
                <c:pt idx="2">
                  <c:v>Богданович</c:v>
                </c:pt>
                <c:pt idx="3">
                  <c:v>Верхняя Пышма</c:v>
                </c:pt>
                <c:pt idx="4">
                  <c:v>Ирбит</c:v>
                </c:pt>
                <c:pt idx="5">
                  <c:v>Краснотурьинск</c:v>
                </c:pt>
                <c:pt idx="6">
                  <c:v>Красноуральск</c:v>
                </c:pt>
                <c:pt idx="7">
                  <c:v>Невьянск</c:v>
                </c:pt>
                <c:pt idx="8">
                  <c:v>Нижний Тагил</c:v>
                </c:pt>
                <c:pt idx="9">
                  <c:v>Североуральск</c:v>
                </c:pt>
                <c:pt idx="10">
                  <c:v>Первоуральск</c:v>
                </c:pt>
                <c:pt idx="11">
                  <c:v>Ревда</c:v>
                </c:pt>
                <c:pt idx="12">
                  <c:v>Реж</c:v>
                </c:pt>
                <c:pt idx="13">
                  <c:v>Свободный</c:v>
                </c:pt>
                <c:pt idx="14">
                  <c:v>Сухой Лог</c:v>
                </c:pt>
                <c:pt idx="15">
                  <c:v>Шаля</c:v>
                </c:pt>
                <c:pt idx="16">
                  <c:v>Екатеринбург</c:v>
                </c:pt>
                <c:pt idx="17">
                  <c:v>Качканар</c:v>
                </c:pt>
                <c:pt idx="18">
                  <c:v>Новоуральск</c:v>
                </c:pt>
              </c:strCache>
            </c:strRef>
          </c:cat>
          <c:val>
            <c:numRef>
              <c:f>1</c:f>
              <c:numCache>
                <c:formatCode>General</c:formatCode>
                <c:ptCount val="19"/>
                <c:pt idx="0">
                  <c:v>2</c:v>
                </c:pt>
                <c:pt idx="1">
                  <c:v>9</c:v>
                </c:pt>
                <c:pt idx="2">
                  <c:v>2</c:v>
                </c:pt>
                <c:pt idx="3">
                  <c:v>6</c:v>
                </c:pt>
                <c:pt idx="4">
                  <c:v>3</c:v>
                </c:pt>
                <c:pt idx="5">
                  <c:v>4</c:v>
                </c:pt>
                <c:pt idx="6">
                  <c:v>1</c:v>
                </c:pt>
                <c:pt idx="7">
                  <c:v>4</c:v>
                </c:pt>
                <c:pt idx="8">
                  <c:v>27</c:v>
                </c:pt>
                <c:pt idx="9">
                  <c:v>2</c:v>
                </c:pt>
                <c:pt idx="10">
                  <c:v>8</c:v>
                </c:pt>
                <c:pt idx="11">
                  <c:v>3</c:v>
                </c:pt>
                <c:pt idx="12">
                  <c:v>3</c:v>
                </c:pt>
                <c:pt idx="13">
                  <c:v>1</c:v>
                </c:pt>
                <c:pt idx="14">
                  <c:v>2</c:v>
                </c:pt>
                <c:pt idx="15">
                  <c:v>1</c:v>
                </c:pt>
                <c:pt idx="16">
                  <c:v>89</c:v>
                </c:pt>
                <c:pt idx="17">
                  <c:v>2</c:v>
                </c:pt>
                <c:pt idx="18">
                  <c:v>2</c:v>
                </c:pt>
              </c:numCache>
            </c:numRef>
          </c:val>
        </c:ser>
        <c:gapWidth val="100"/>
        <c:shape val="box"/>
        <c:axId val="22947002"/>
        <c:axId val="7712808"/>
        <c:axId val="0"/>
      </c:bar3DChart>
      <c:catAx>
        <c:axId val="22947002"/>
        <c:scaling>
          <c:orientation val="minMax"/>
        </c:scaling>
        <c:delete val="0"/>
        <c:axPos val="b"/>
        <c:numFmt formatCode="General" sourceLinked="0"/>
        <c:majorTickMark val="out"/>
        <c:minorTickMark val="none"/>
        <c:tickLblPos val="nextTo"/>
        <c:spPr>
          <a:ln w="9360">
            <a:solidFill>
              <a:srgbClr val="d9d9d9"/>
            </a:solidFill>
            <a:round/>
          </a:ln>
        </c:spPr>
        <c:txPr>
          <a:bodyPr/>
          <a:lstStyle/>
          <a:p>
            <a:pPr>
              <a:defRPr b="0" sz="900" spc="-1" strike="noStrike">
                <a:solidFill>
                  <a:srgbClr val="595959"/>
                </a:solidFill>
                <a:latin typeface="Calibri"/>
              </a:defRPr>
            </a:pPr>
          </a:p>
        </c:txPr>
        <c:crossAx val="7712808"/>
        <c:crosses val="autoZero"/>
        <c:auto val="1"/>
        <c:lblAlgn val="ctr"/>
        <c:lblOffset val="100"/>
        <c:noMultiLvlLbl val="0"/>
      </c:catAx>
      <c:valAx>
        <c:axId val="7712808"/>
        <c:scaling>
          <c:orientation val="minMax"/>
        </c:scaling>
        <c:delete val="0"/>
        <c:axPos val="l"/>
        <c:majorGridlines>
          <c:spPr>
            <a:ln w="9360">
              <a:solidFill>
                <a:srgbClr val="d9d9d9"/>
              </a:solidFill>
              <a:round/>
            </a:ln>
          </c:spPr>
        </c:majorGridlines>
        <c:numFmt formatCode="0%" sourceLinked="0"/>
        <c:majorTickMark val="out"/>
        <c:minorTickMark val="none"/>
        <c:tickLblPos val="nextTo"/>
        <c:spPr>
          <a:ln w="6480">
            <a:noFill/>
          </a:ln>
        </c:spPr>
        <c:txPr>
          <a:bodyPr/>
          <a:lstStyle/>
          <a:p>
            <a:pPr>
              <a:defRPr b="0" sz="900" spc="-1" strike="noStrike">
                <a:solidFill>
                  <a:srgbClr val="595959"/>
                </a:solidFill>
                <a:latin typeface="Calibri"/>
              </a:defRPr>
            </a:pPr>
          </a:p>
        </c:txPr>
        <c:crossAx val="22947002"/>
        <c:crosses val="autoZero"/>
        <c:crossBetween val="between"/>
      </c:valAx>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200" spc="-1" strike="noStrike">
                <a:solidFill>
                  <a:srgbClr val="595959"/>
                </a:solidFill>
                <a:latin typeface="Calibri"/>
              </a:defRPr>
            </a:pPr>
            <a:r>
              <a:rPr b="0" sz="1200" spc="-1" strike="noStrike">
                <a:solidFill>
                  <a:srgbClr val="595959"/>
                </a:solidFill>
                <a:latin typeface="Calibri"/>
              </a:rPr>
              <a:t>Распределение пострадавших и погибших детей по возрастным группам</a:t>
            </a:r>
          </a:p>
        </c:rich>
      </c:tx>
      <c:overlay val="0"/>
      <c:spPr>
        <a:noFill/>
        <a:ln w="0">
          <a:noFill/>
        </a:ln>
      </c:spPr>
    </c:title>
    <c:autoTitleDeleted val="0"/>
    <c:plotArea>
      <c:pieChart>
        <c:varyColors val="1"/>
        <c:ser>
          <c:idx val="0"/>
          <c:order val="0"/>
          <c:tx>
            <c:strRef>
              <c:f>label 0</c:f>
              <c:strCache>
                <c:ptCount val="1"/>
                <c:pt idx="0">
                  <c:v>Распределение пострадавших и погибших детей по возрастным группам</c:v>
                </c:pt>
              </c:strCache>
            </c:strRef>
          </c:tx>
          <c:spPr>
            <a:solidFill>
              <a:srgbClr val="5b9bd5"/>
            </a:solidFill>
            <a:ln w="0">
              <a:noFill/>
            </a:ln>
          </c:spPr>
          <c:explosion val="0"/>
          <c:dPt>
            <c:idx val="0"/>
            <c:spPr>
              <a:solidFill>
                <a:srgbClr val="ed7d31"/>
              </a:solidFill>
              <a:ln w="19080">
                <a:solidFill>
                  <a:srgbClr val="ffffff"/>
                </a:solidFill>
                <a:round/>
              </a:ln>
            </c:spPr>
          </c:dPt>
          <c:dPt>
            <c:idx val="1"/>
            <c:spPr>
              <a:solidFill>
                <a:srgbClr val="ffc000"/>
              </a:solidFill>
              <a:ln w="19080">
                <a:solidFill>
                  <a:srgbClr val="ffffff"/>
                </a:solidFill>
                <a:round/>
              </a:ln>
            </c:spPr>
          </c:dPt>
          <c:dPt>
            <c:idx val="2"/>
            <c:spPr>
              <a:solidFill>
                <a:srgbClr val="70ad47"/>
              </a:solidFill>
              <a:ln w="19080">
                <a:solidFill>
                  <a:srgbClr val="ffffff"/>
                </a:solidFill>
                <a:round/>
              </a:ln>
            </c:spPr>
          </c:dPt>
          <c:dLbls>
            <c:numFmt formatCode="General" sourceLinked="0"/>
            <c:dLbl>
              <c:idx val="0"/>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2"/>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bestFit"/>
            <c:showLegendKey val="0"/>
            <c:showVal val="1"/>
            <c:showCatName val="0"/>
            <c:showSerName val="0"/>
            <c:showPercent val="0"/>
            <c:separator>; </c:separator>
            <c:showLeaderLines val="1"/>
          </c:dLbls>
          <c:cat>
            <c:strRef>
              <c:f>categories</c:f>
              <c:strCache>
                <c:ptCount val="3"/>
                <c:pt idx="0">
                  <c:v>0-6 лет</c:v>
                </c:pt>
                <c:pt idx="1">
                  <c:v>7-10 лет</c:v>
                </c:pt>
                <c:pt idx="2">
                  <c:v>11-15 лет</c:v>
                </c:pt>
              </c:strCache>
            </c:strRef>
          </c:cat>
          <c:val>
            <c:numRef>
              <c:f>0</c:f>
              <c:numCache>
                <c:formatCode>General</c:formatCode>
                <c:ptCount val="3"/>
                <c:pt idx="0">
                  <c:v>48</c:v>
                </c:pt>
                <c:pt idx="1">
                  <c:v>80</c:v>
                </c:pt>
                <c:pt idx="2">
                  <c:v>96</c:v>
                </c:pt>
              </c:numCache>
            </c:numRef>
          </c:val>
        </c:ser>
        <c:firstSliceAng val="0"/>
      </c:pieChart>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200" spc="-1" strike="noStrike">
                <a:solidFill>
                  <a:srgbClr val="000000"/>
                </a:solidFill>
                <a:latin typeface="Calibri"/>
              </a:defRPr>
            </a:pPr>
            <a:r>
              <a:rPr b="0" lang="ru-RU" sz="1200" spc="-1" strike="noStrike">
                <a:solidFill>
                  <a:srgbClr val="000000"/>
                </a:solidFill>
                <a:latin typeface="Calibri"/>
              </a:rPr>
              <a:t>Распределение пострадавших и погибших детей по гендерным признакам</a:t>
            </a:r>
          </a:p>
        </c:rich>
      </c:tx>
      <c:overlay val="0"/>
      <c:spPr>
        <a:noFill/>
        <a:ln w="0">
          <a:noFill/>
        </a:ln>
      </c:spPr>
    </c:title>
    <c:autoTitleDeleted val="0"/>
    <c:plotArea>
      <c:pieChart>
        <c:varyColors val="1"/>
        <c:ser>
          <c:idx val="0"/>
          <c:order val="0"/>
          <c:tx>
            <c:strRef>
              <c:f>label 0</c:f>
              <c:strCache>
                <c:ptCount val="1"/>
                <c:pt idx="0">
                  <c:v>Распределение пострадавших и погибших детей по гендерным признакам</c:v>
                </c:pt>
              </c:strCache>
            </c:strRef>
          </c:tx>
          <c:spPr>
            <a:solidFill>
              <a:srgbClr val="5b9bd5"/>
            </a:solidFill>
            <a:ln w="0">
              <a:noFill/>
            </a:ln>
          </c:spPr>
          <c:explosion val="0"/>
          <c:dPt>
            <c:idx val="0"/>
            <c:spPr>
              <a:solidFill>
                <a:srgbClr val="ffc000"/>
              </a:solidFill>
              <a:ln w="19080">
                <a:solidFill>
                  <a:srgbClr val="ffffff"/>
                </a:solidFill>
                <a:round/>
              </a:ln>
            </c:spPr>
          </c:dPt>
          <c:dPt>
            <c:idx val="1"/>
            <c:spPr>
              <a:solidFill>
                <a:srgbClr val="7030a0"/>
              </a:solidFill>
              <a:ln w="19080">
                <a:solidFill>
                  <a:srgbClr val="ffffff"/>
                </a:solidFill>
                <a:round/>
              </a:ln>
            </c:spPr>
          </c:dPt>
          <c:dLbls>
            <c:numFmt formatCode="General" sourceLinked="0"/>
            <c:dLbl>
              <c:idx val="0"/>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bestFit"/>
            <c:showLegendKey val="0"/>
            <c:showVal val="1"/>
            <c:showCatName val="0"/>
            <c:showSerName val="0"/>
            <c:showPercent val="0"/>
            <c:separator>; </c:separator>
            <c:showLeaderLines val="1"/>
          </c:dLbls>
          <c:cat>
            <c:strRef>
              <c:f>categories</c:f>
              <c:strCache>
                <c:ptCount val="2"/>
                <c:pt idx="0">
                  <c:v>мальчики</c:v>
                </c:pt>
                <c:pt idx="1">
                  <c:v>девочки</c:v>
                </c:pt>
              </c:strCache>
            </c:strRef>
          </c:cat>
          <c:val>
            <c:numRef>
              <c:f>0</c:f>
              <c:numCache>
                <c:formatCode>General</c:formatCode>
                <c:ptCount val="2"/>
                <c:pt idx="0">
                  <c:v>127</c:v>
                </c:pt>
                <c:pt idx="1">
                  <c:v>97</c:v>
                </c:pt>
              </c:numCache>
            </c:numRef>
          </c:val>
        </c:ser>
        <c:firstSliceAng val="0"/>
      </c:pieChart>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Распределение показателей в зависимости от погодных условий</a:t>
            </a:r>
          </a:p>
        </c:rich>
      </c:tx>
      <c:overlay val="0"/>
      <c:spPr>
        <a:noFill/>
        <a:ln w="0">
          <a:noFill/>
        </a:ln>
      </c:spPr>
    </c:title>
    <c:autoTitleDeleted val="0"/>
    <c:plotArea>
      <c:barChart>
        <c:barDir val="col"/>
        <c:grouping val="clustered"/>
        <c:varyColors val="0"/>
        <c:ser>
          <c:idx val="0"/>
          <c:order val="0"/>
          <c:tx>
            <c:strRef>
              <c:f>label 0</c:f>
              <c:strCache>
                <c:ptCount val="1"/>
                <c:pt idx="0">
                  <c:v>ДТП</c:v>
                </c:pt>
              </c:strCache>
            </c:strRef>
          </c:tx>
          <c:spPr>
            <a:solidFill>
              <a:srgbClr val="70ad47"/>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4"/>
                <c:pt idx="0">
                  <c:v>Ясно</c:v>
                </c:pt>
                <c:pt idx="1">
                  <c:v>Пасмурно</c:v>
                </c:pt>
                <c:pt idx="2">
                  <c:v>Снегопад, метель</c:v>
                </c:pt>
                <c:pt idx="3">
                  <c:v>Дождь</c:v>
                </c:pt>
              </c:strCache>
            </c:strRef>
          </c:cat>
          <c:val>
            <c:numRef>
              <c:f>0</c:f>
              <c:numCache>
                <c:formatCode>General</c:formatCode>
                <c:ptCount val="4"/>
                <c:pt idx="0">
                  <c:v>143</c:v>
                </c:pt>
                <c:pt idx="1">
                  <c:v>46</c:v>
                </c:pt>
                <c:pt idx="2">
                  <c:v>9</c:v>
                </c:pt>
                <c:pt idx="3">
                  <c:v>4</c:v>
                </c:pt>
              </c:numCache>
            </c:numRef>
          </c:val>
        </c:ser>
        <c:ser>
          <c:idx val="1"/>
          <c:order val="1"/>
          <c:tx>
            <c:strRef>
              <c:f>label 1</c:f>
              <c:strCache>
                <c:ptCount val="1"/>
                <c:pt idx="0">
                  <c:v>Ранено</c:v>
                </c:pt>
              </c:strCache>
            </c:strRef>
          </c:tx>
          <c:spPr>
            <a:solidFill>
              <a:srgbClr val="4472c4"/>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4"/>
                <c:pt idx="0">
                  <c:v>Ясно</c:v>
                </c:pt>
                <c:pt idx="1">
                  <c:v>Пасмурно</c:v>
                </c:pt>
                <c:pt idx="2">
                  <c:v>Снегопад, метель</c:v>
                </c:pt>
                <c:pt idx="3">
                  <c:v>Дождь</c:v>
                </c:pt>
              </c:strCache>
            </c:strRef>
          </c:cat>
          <c:val>
            <c:numRef>
              <c:f>1</c:f>
              <c:numCache>
                <c:formatCode>General</c:formatCode>
                <c:ptCount val="4"/>
                <c:pt idx="0">
                  <c:v>159</c:v>
                </c:pt>
                <c:pt idx="1">
                  <c:v>47</c:v>
                </c:pt>
                <c:pt idx="2">
                  <c:v>8</c:v>
                </c:pt>
                <c:pt idx="3">
                  <c:v>4</c:v>
                </c:pt>
              </c:numCache>
            </c:numRef>
          </c:val>
        </c:ser>
        <c:ser>
          <c:idx val="2"/>
          <c:order val="2"/>
          <c:tx>
            <c:strRef>
              <c:f>label 2</c:f>
              <c:strCache>
                <c:ptCount val="1"/>
                <c:pt idx="0">
                  <c:v>Погибло</c:v>
                </c:pt>
              </c:strCache>
            </c:strRef>
          </c:tx>
          <c:spPr>
            <a:solidFill>
              <a:srgbClr val="c00000"/>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4"/>
                <c:pt idx="0">
                  <c:v>Ясно</c:v>
                </c:pt>
                <c:pt idx="1">
                  <c:v>Пасмурно</c:v>
                </c:pt>
                <c:pt idx="2">
                  <c:v>Снегопад, метель</c:v>
                </c:pt>
                <c:pt idx="3">
                  <c:v>Дождь</c:v>
                </c:pt>
              </c:strCache>
            </c:strRef>
          </c:cat>
          <c:val>
            <c:numRef>
              <c:f>2</c:f>
              <c:numCache>
                <c:formatCode>General</c:formatCode>
                <c:ptCount val="4"/>
                <c:pt idx="0">
                  <c:v>5</c:v>
                </c:pt>
                <c:pt idx="2">
                  <c:v>1</c:v>
                </c:pt>
                <c:pt idx="3">
                  <c:v>0</c:v>
                </c:pt>
              </c:numCache>
            </c:numRef>
          </c:val>
        </c:ser>
        <c:gapWidth val="219"/>
        <c:overlap val="-27"/>
        <c:axId val="81637118"/>
        <c:axId val="97321350"/>
      </c:barChart>
      <c:catAx>
        <c:axId val="81637118"/>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b="0" sz="900" spc="-1" strike="noStrike">
                <a:solidFill>
                  <a:srgbClr val="595959"/>
                </a:solidFill>
                <a:latin typeface="Calibri"/>
              </a:defRPr>
            </a:pPr>
          </a:p>
        </c:txPr>
        <c:crossAx val="97321350"/>
        <c:crosses val="autoZero"/>
        <c:auto val="1"/>
        <c:lblAlgn val="ctr"/>
        <c:lblOffset val="100"/>
        <c:noMultiLvlLbl val="0"/>
      </c:catAx>
      <c:valAx>
        <c:axId val="97321350"/>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81637118"/>
        <c:crosses val="autoZero"/>
        <c:crossBetween val="between"/>
      </c:valAx>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Распределение ДТП по времени суток</a:t>
            </a:r>
          </a:p>
        </c:rich>
      </c:tx>
      <c:overlay val="0"/>
      <c:spPr>
        <a:noFill/>
        <a:ln w="0">
          <a:noFill/>
        </a:ln>
      </c:spPr>
    </c:title>
    <c:autoTitleDeleted val="0"/>
    <c:plotArea>
      <c:barChart>
        <c:barDir val="col"/>
        <c:grouping val="clustered"/>
        <c:varyColors val="0"/>
        <c:ser>
          <c:idx val="0"/>
          <c:order val="0"/>
          <c:tx>
            <c:strRef>
              <c:f>label 0</c:f>
              <c:strCache>
                <c:ptCount val="1"/>
                <c:pt idx="0">
                  <c:v>ДТП</c:v>
                </c:pt>
              </c:strCache>
            </c:strRef>
          </c:tx>
          <c:spPr>
            <a:solidFill>
              <a:srgbClr val="70ad47"/>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00 ч. 00 мин. - 07 ч. 00 мин.</c:v>
                </c:pt>
                <c:pt idx="1">
                  <c:v>07 ч. 00 мин. - 09 ч. 00 мин.</c:v>
                </c:pt>
                <c:pt idx="2">
                  <c:v>09 ч. 00 мин. - 12 ч. 00 мин.</c:v>
                </c:pt>
                <c:pt idx="3">
                  <c:v>12 ч. 00 мин. - 15 ч. 00 мин.</c:v>
                </c:pt>
                <c:pt idx="4">
                  <c:v>15 ч. 00 мин. - 18 ч. 00 мин.</c:v>
                </c:pt>
                <c:pt idx="5">
                  <c:v>18 ч. 00 мин. - 21 ч. 00 мин.</c:v>
                </c:pt>
                <c:pt idx="6">
                  <c:v>21 ч. 00 мин. - 24 ч. 00 мин.</c:v>
                </c:pt>
              </c:strCache>
            </c:strRef>
          </c:cat>
          <c:val>
            <c:numRef>
              <c:f>0</c:f>
              <c:numCache>
                <c:formatCode>General</c:formatCode>
                <c:ptCount val="7"/>
                <c:pt idx="0">
                  <c:v>4</c:v>
                </c:pt>
                <c:pt idx="1">
                  <c:v>8</c:v>
                </c:pt>
                <c:pt idx="2">
                  <c:v>24</c:v>
                </c:pt>
                <c:pt idx="3">
                  <c:v>42</c:v>
                </c:pt>
                <c:pt idx="4">
                  <c:v>62</c:v>
                </c:pt>
                <c:pt idx="5">
                  <c:v>46</c:v>
                </c:pt>
                <c:pt idx="6">
                  <c:v>16</c:v>
                </c:pt>
              </c:numCache>
            </c:numRef>
          </c:val>
        </c:ser>
        <c:ser>
          <c:idx val="1"/>
          <c:order val="1"/>
          <c:tx>
            <c:strRef>
              <c:f>label 1</c:f>
              <c:strCache>
                <c:ptCount val="1"/>
                <c:pt idx="0">
                  <c:v>Ранено</c:v>
                </c:pt>
              </c:strCache>
            </c:strRef>
          </c:tx>
          <c:spPr>
            <a:solidFill>
              <a:srgbClr val="4472c4"/>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00 ч. 00 мин. - 07 ч. 00 мин.</c:v>
                </c:pt>
                <c:pt idx="1">
                  <c:v>07 ч. 00 мин. - 09 ч. 00 мин.</c:v>
                </c:pt>
                <c:pt idx="2">
                  <c:v>09 ч. 00 мин. - 12 ч. 00 мин.</c:v>
                </c:pt>
                <c:pt idx="3">
                  <c:v>12 ч. 00 мин. - 15 ч. 00 мин.</c:v>
                </c:pt>
                <c:pt idx="4">
                  <c:v>15 ч. 00 мин. - 18 ч. 00 мин.</c:v>
                </c:pt>
                <c:pt idx="5">
                  <c:v>18 ч. 00 мин. - 21 ч. 00 мин.</c:v>
                </c:pt>
                <c:pt idx="6">
                  <c:v>21 ч. 00 мин. - 24 ч. 00 мин.</c:v>
                </c:pt>
              </c:strCache>
            </c:strRef>
          </c:cat>
          <c:val>
            <c:numRef>
              <c:f>1</c:f>
              <c:numCache>
                <c:formatCode>General</c:formatCode>
                <c:ptCount val="7"/>
                <c:pt idx="0">
                  <c:v>4</c:v>
                </c:pt>
                <c:pt idx="1">
                  <c:v>9</c:v>
                </c:pt>
                <c:pt idx="2">
                  <c:v>24</c:v>
                </c:pt>
                <c:pt idx="3">
                  <c:v>48</c:v>
                </c:pt>
                <c:pt idx="4">
                  <c:v>66</c:v>
                </c:pt>
                <c:pt idx="5">
                  <c:v>51</c:v>
                </c:pt>
                <c:pt idx="6">
                  <c:v>16</c:v>
                </c:pt>
              </c:numCache>
            </c:numRef>
          </c:val>
        </c:ser>
        <c:ser>
          <c:idx val="2"/>
          <c:order val="2"/>
          <c:tx>
            <c:strRef>
              <c:f>label 2</c:f>
              <c:strCache>
                <c:ptCount val="1"/>
                <c:pt idx="0">
                  <c:v>Погибло</c:v>
                </c:pt>
              </c:strCache>
            </c:strRef>
          </c:tx>
          <c:spPr>
            <a:solidFill>
              <a:srgbClr val="c00000"/>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00 ч. 00 мин. - 07 ч. 00 мин.</c:v>
                </c:pt>
                <c:pt idx="1">
                  <c:v>07 ч. 00 мин. - 09 ч. 00 мин.</c:v>
                </c:pt>
                <c:pt idx="2">
                  <c:v>09 ч. 00 мин. - 12 ч. 00 мин.</c:v>
                </c:pt>
                <c:pt idx="3">
                  <c:v>12 ч. 00 мин. - 15 ч. 00 мин.</c:v>
                </c:pt>
                <c:pt idx="4">
                  <c:v>15 ч. 00 мин. - 18 ч. 00 мин.</c:v>
                </c:pt>
                <c:pt idx="5">
                  <c:v>18 ч. 00 мин. - 21 ч. 00 мин.</c:v>
                </c:pt>
                <c:pt idx="6">
                  <c:v>21 ч. 00 мин. - 24 ч. 00 мин.</c:v>
                </c:pt>
              </c:strCache>
            </c:strRef>
          </c:cat>
          <c:val>
            <c:numRef>
              <c:f>2</c:f>
              <c:numCache>
                <c:formatCode>General</c:formatCode>
                <c:ptCount val="7"/>
                <c:pt idx="0">
                  <c:v>1</c:v>
                </c:pt>
                <c:pt idx="1">
                  <c:v>0</c:v>
                </c:pt>
                <c:pt idx="2">
                  <c:v>0</c:v>
                </c:pt>
                <c:pt idx="3">
                  <c:v>2</c:v>
                </c:pt>
                <c:pt idx="4">
                  <c:v>1</c:v>
                </c:pt>
                <c:pt idx="5">
                  <c:v>2</c:v>
                </c:pt>
                <c:pt idx="6">
                  <c:v>0</c:v>
                </c:pt>
              </c:numCache>
            </c:numRef>
          </c:val>
        </c:ser>
        <c:gapWidth val="219"/>
        <c:overlap val="-27"/>
        <c:axId val="13558842"/>
        <c:axId val="27888444"/>
      </c:barChart>
      <c:catAx>
        <c:axId val="13558842"/>
        <c:scaling>
          <c:orientation val="minMax"/>
        </c:scaling>
        <c:delete val="0"/>
        <c:axPos val="b"/>
        <c:numFmt formatCode="h:mm;@" sourceLinked="0"/>
        <c:majorTickMark val="none"/>
        <c:minorTickMark val="none"/>
        <c:tickLblPos val="nextTo"/>
        <c:spPr>
          <a:ln w="9360">
            <a:solidFill>
              <a:srgbClr val="d9d9d9"/>
            </a:solidFill>
            <a:round/>
          </a:ln>
        </c:spPr>
        <c:txPr>
          <a:bodyPr/>
          <a:lstStyle/>
          <a:p>
            <a:pPr>
              <a:defRPr b="0" sz="700" spc="-1" strike="noStrike">
                <a:solidFill>
                  <a:srgbClr val="595959"/>
                </a:solidFill>
                <a:latin typeface="Calibri"/>
              </a:defRPr>
            </a:pPr>
          </a:p>
        </c:txPr>
        <c:crossAx val="27888444"/>
        <c:crosses val="autoZero"/>
        <c:auto val="1"/>
        <c:lblAlgn val="ctr"/>
        <c:lblOffset val="100"/>
        <c:noMultiLvlLbl val="0"/>
      </c:catAx>
      <c:valAx>
        <c:axId val="27888444"/>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13558842"/>
        <c:crosses val="autoZero"/>
        <c:crossBetween val="between"/>
      </c:valAx>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Распределение ДТП по дням недели</a:t>
            </a:r>
          </a:p>
        </c:rich>
      </c:tx>
      <c:overlay val="0"/>
      <c:spPr>
        <a:noFill/>
        <a:ln w="0">
          <a:noFill/>
        </a:ln>
      </c:spPr>
    </c:title>
    <c:autoTitleDeleted val="0"/>
    <c:plotArea>
      <c:barChart>
        <c:barDir val="col"/>
        <c:grouping val="clustered"/>
        <c:varyColors val="0"/>
        <c:ser>
          <c:idx val="0"/>
          <c:order val="0"/>
          <c:tx>
            <c:strRef>
              <c:f>label 0</c:f>
              <c:strCache>
                <c:ptCount val="1"/>
                <c:pt idx="0">
                  <c:v>ДТП</c:v>
                </c:pt>
              </c:strCache>
            </c:strRef>
          </c:tx>
          <c:spPr>
            <a:solidFill>
              <a:srgbClr val="5b9bd5"/>
            </a:solidFill>
            <a:ln w="0">
              <a:noFill/>
            </a:ln>
          </c:spPr>
          <c:invertIfNegative val="0"/>
          <c:dPt>
            <c:idx val="1"/>
            <c:invertIfNegative val="0"/>
            <c:spPr>
              <a:solidFill>
                <a:srgbClr val="5b9bd5"/>
              </a:solidFill>
              <a:ln w="0">
                <a:noFill/>
              </a:ln>
            </c:spPr>
          </c:dPt>
          <c:dLbls>
            <c:numFmt formatCode="General" sourceLinked="0"/>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понедельник</c:v>
                </c:pt>
                <c:pt idx="1">
                  <c:v>вторник</c:v>
                </c:pt>
                <c:pt idx="2">
                  <c:v>среда</c:v>
                </c:pt>
                <c:pt idx="3">
                  <c:v>четверг</c:v>
                </c:pt>
                <c:pt idx="4">
                  <c:v>пятница</c:v>
                </c:pt>
                <c:pt idx="5">
                  <c:v>суббота</c:v>
                </c:pt>
                <c:pt idx="6">
                  <c:v>воскресенье</c:v>
                </c:pt>
              </c:strCache>
            </c:strRef>
          </c:cat>
          <c:val>
            <c:numRef>
              <c:f>0</c:f>
              <c:numCache>
                <c:formatCode>General</c:formatCode>
                <c:ptCount val="7"/>
                <c:pt idx="0">
                  <c:v>26</c:v>
                </c:pt>
                <c:pt idx="1">
                  <c:v>32</c:v>
                </c:pt>
                <c:pt idx="2">
                  <c:v>18</c:v>
                </c:pt>
                <c:pt idx="3">
                  <c:v>28</c:v>
                </c:pt>
                <c:pt idx="4">
                  <c:v>36</c:v>
                </c:pt>
                <c:pt idx="5">
                  <c:v>33</c:v>
                </c:pt>
                <c:pt idx="6">
                  <c:v>29</c:v>
                </c:pt>
              </c:numCache>
            </c:numRef>
          </c:val>
        </c:ser>
        <c:ser>
          <c:idx val="1"/>
          <c:order val="1"/>
          <c:tx>
            <c:strRef>
              <c:f>label 1</c:f>
              <c:strCache>
                <c:ptCount val="1"/>
                <c:pt idx="0">
                  <c:v>Ранено</c:v>
                </c:pt>
              </c:strCache>
            </c:strRef>
          </c:tx>
          <c:spPr>
            <a:solidFill>
              <a:srgbClr val="ffc000"/>
            </a:solidFill>
            <a:ln w="0">
              <a:noFill/>
            </a:ln>
          </c:spPr>
          <c:invertIfNegative val="0"/>
          <c:dPt>
            <c:idx val="1"/>
            <c:invertIfNegative val="0"/>
            <c:spPr>
              <a:solidFill>
                <a:srgbClr val="ffc000"/>
              </a:solidFill>
              <a:ln w="0">
                <a:noFill/>
              </a:ln>
            </c:spPr>
          </c:dPt>
          <c:dPt>
            <c:idx val="6"/>
            <c:invertIfNegative val="0"/>
            <c:spPr>
              <a:solidFill>
                <a:srgbClr val="ffc000"/>
              </a:solidFill>
              <a:ln w="0">
                <a:noFill/>
              </a:ln>
            </c:spPr>
          </c:dPt>
          <c:dLbls>
            <c:numFmt formatCode="General" sourceLinked="0"/>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6"/>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понедельник</c:v>
                </c:pt>
                <c:pt idx="1">
                  <c:v>вторник</c:v>
                </c:pt>
                <c:pt idx="2">
                  <c:v>среда</c:v>
                </c:pt>
                <c:pt idx="3">
                  <c:v>четверг</c:v>
                </c:pt>
                <c:pt idx="4">
                  <c:v>пятница</c:v>
                </c:pt>
                <c:pt idx="5">
                  <c:v>суббота</c:v>
                </c:pt>
                <c:pt idx="6">
                  <c:v>воскресенье</c:v>
                </c:pt>
              </c:strCache>
            </c:strRef>
          </c:cat>
          <c:val>
            <c:numRef>
              <c:f>1</c:f>
              <c:numCache>
                <c:formatCode>General</c:formatCode>
                <c:ptCount val="7"/>
                <c:pt idx="0">
                  <c:v>28</c:v>
                </c:pt>
                <c:pt idx="1">
                  <c:v>33</c:v>
                </c:pt>
                <c:pt idx="2">
                  <c:v>18</c:v>
                </c:pt>
                <c:pt idx="3">
                  <c:v>28</c:v>
                </c:pt>
                <c:pt idx="4">
                  <c:v>40</c:v>
                </c:pt>
                <c:pt idx="5">
                  <c:v>38</c:v>
                </c:pt>
                <c:pt idx="6">
                  <c:v>33</c:v>
                </c:pt>
              </c:numCache>
            </c:numRef>
          </c:val>
        </c:ser>
        <c:ser>
          <c:idx val="2"/>
          <c:order val="2"/>
          <c:tx>
            <c:strRef>
              <c:f>label 2</c:f>
              <c:strCache>
                <c:ptCount val="1"/>
                <c:pt idx="0">
                  <c:v>Погибло</c:v>
                </c:pt>
              </c:strCache>
            </c:strRef>
          </c:tx>
          <c:spPr>
            <a:solidFill>
              <a:srgbClr val="c00000"/>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понедельник</c:v>
                </c:pt>
                <c:pt idx="1">
                  <c:v>вторник</c:v>
                </c:pt>
                <c:pt idx="2">
                  <c:v>среда</c:v>
                </c:pt>
                <c:pt idx="3">
                  <c:v>четверг</c:v>
                </c:pt>
                <c:pt idx="4">
                  <c:v>пятница</c:v>
                </c:pt>
                <c:pt idx="5">
                  <c:v>суббота</c:v>
                </c:pt>
                <c:pt idx="6">
                  <c:v>воскресенье</c:v>
                </c:pt>
              </c:strCache>
            </c:strRef>
          </c:cat>
          <c:val>
            <c:numRef>
              <c:f>2</c:f>
              <c:numCache>
                <c:formatCode>General</c:formatCode>
                <c:ptCount val="7"/>
                <c:pt idx="0">
                  <c:v>1</c:v>
                </c:pt>
                <c:pt idx="1">
                  <c:v>1</c:v>
                </c:pt>
                <c:pt idx="2">
                  <c:v>0</c:v>
                </c:pt>
                <c:pt idx="3">
                  <c:v>0</c:v>
                </c:pt>
                <c:pt idx="4">
                  <c:v>2</c:v>
                </c:pt>
                <c:pt idx="5">
                  <c:v>0</c:v>
                </c:pt>
                <c:pt idx="6">
                  <c:v>2</c:v>
                </c:pt>
              </c:numCache>
            </c:numRef>
          </c:val>
        </c:ser>
        <c:gapWidth val="219"/>
        <c:overlap val="0"/>
        <c:axId val="91229431"/>
        <c:axId val="9013965"/>
      </c:barChart>
      <c:catAx>
        <c:axId val="91229431"/>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b="0" sz="900" spc="-1" strike="noStrike">
                <a:solidFill>
                  <a:srgbClr val="595959"/>
                </a:solidFill>
                <a:latin typeface="Calibri"/>
              </a:defRPr>
            </a:pPr>
          </a:p>
        </c:txPr>
        <c:crossAx val="9013965"/>
        <c:crosses val="autoZero"/>
        <c:auto val="1"/>
        <c:lblAlgn val="ctr"/>
        <c:lblOffset val="100"/>
        <c:noMultiLvlLbl val="0"/>
      </c:catAx>
      <c:valAx>
        <c:axId val="9013965"/>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91229431"/>
        <c:crosses val="autoZero"/>
        <c:crossBetween val="between"/>
      </c:valAx>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lang="ru-RU" sz="1400" spc="-1" strike="noStrike">
                <a:solidFill>
                  <a:srgbClr val="595959"/>
                </a:solidFill>
                <a:latin typeface="Calibri"/>
              </a:defRPr>
            </a:pPr>
            <a:r>
              <a:rPr b="1" lang="ru-RU" sz="1400" spc="-1" strike="noStrike">
                <a:solidFill>
                  <a:srgbClr val="595959"/>
                </a:solidFill>
                <a:latin typeface="Calibri"/>
              </a:rPr>
              <a:t>ДТП по видам</a:t>
            </a:r>
          </a:p>
        </c:rich>
      </c:tx>
      <c:layout>
        <c:manualLayout>
          <c:xMode val="edge"/>
          <c:yMode val="edge"/>
          <c:x val="0.769728729963009"/>
          <c:y val="0.00515679442508711"/>
        </c:manualLayout>
      </c:layout>
      <c:overlay val="0"/>
      <c:spPr>
        <a:noFill/>
        <a:ln w="0">
          <a:noFill/>
        </a:ln>
      </c:spPr>
    </c:title>
    <c:autoTitleDeleted val="0"/>
    <c:view3D>
      <c:rotX val="30"/>
      <c:rotY val="0"/>
      <c:rAngAx val="0"/>
      <c:perspective val="30"/>
    </c:view3D>
    <c:floor>
      <c:spPr>
        <a:solidFill>
          <a:srgbClr val="d9d9d9"/>
        </a:solidFill>
        <a:ln w="0">
          <a:noFill/>
        </a:ln>
      </c:spPr>
    </c:floor>
    <c:sideWall>
      <c:spPr>
        <a:solidFill>
          <a:srgbClr val="d9d9d9"/>
        </a:solidFill>
        <a:ln w="0">
          <a:noFill/>
        </a:ln>
      </c:spPr>
    </c:sideWall>
    <c:backWall>
      <c:spPr>
        <a:solidFill>
          <a:srgbClr val="d9d9d9"/>
        </a:solidFill>
        <a:ln w="0">
          <a:noFill/>
        </a:ln>
      </c:spPr>
    </c:backWall>
    <c:plotArea>
      <c:pie3DChart>
        <c:varyColors val="1"/>
        <c:ser>
          <c:idx val="0"/>
          <c:order val="0"/>
          <c:tx>
            <c:strRef>
              <c:f>label 0</c:f>
              <c:strCache>
                <c:ptCount val="1"/>
                <c:pt idx="0">
                  <c:v>ДТП по видам</c:v>
                </c:pt>
              </c:strCache>
            </c:strRef>
          </c:tx>
          <c:spPr>
            <a:solidFill>
              <a:srgbClr val="5b9bd5"/>
            </a:solidFill>
            <a:ln w="0">
              <a:noFill/>
            </a:ln>
          </c:spPr>
          <c:explosion val="0"/>
          <c:dPt>
            <c:idx val="0"/>
            <c:spPr>
              <a:solidFill>
                <a:srgbClr val="5b9bd5"/>
              </a:solidFill>
              <a:ln w="25560">
                <a:solidFill>
                  <a:srgbClr val="ffffff"/>
                </a:solidFill>
                <a:round/>
              </a:ln>
            </c:spPr>
          </c:dPt>
          <c:dPt>
            <c:idx val="1"/>
            <c:spPr>
              <a:solidFill>
                <a:srgbClr val="ed7d31"/>
              </a:solidFill>
              <a:ln w="25560">
                <a:solidFill>
                  <a:srgbClr val="ffffff"/>
                </a:solidFill>
                <a:round/>
              </a:ln>
            </c:spPr>
          </c:dPt>
          <c:dPt>
            <c:idx val="2"/>
            <c:spPr>
              <a:solidFill>
                <a:srgbClr val="a5a5a5"/>
              </a:solidFill>
              <a:ln w="25560">
                <a:solidFill>
                  <a:srgbClr val="ffffff"/>
                </a:solidFill>
                <a:round/>
              </a:ln>
            </c:spPr>
          </c:dPt>
          <c:dPt>
            <c:idx val="3"/>
            <c:spPr>
              <a:solidFill>
                <a:srgbClr val="ffc000"/>
              </a:solidFill>
              <a:ln w="25560">
                <a:solidFill>
                  <a:srgbClr val="ffffff"/>
                </a:solidFill>
                <a:round/>
              </a:ln>
            </c:spPr>
          </c:dPt>
          <c:dPt>
            <c:idx val="4"/>
            <c:spPr>
              <a:solidFill>
                <a:srgbClr val="4472c4"/>
              </a:solidFill>
              <a:ln w="25560">
                <a:solidFill>
                  <a:srgbClr val="ffffff"/>
                </a:solidFill>
                <a:round/>
              </a:ln>
            </c:spPr>
          </c:dPt>
          <c:dPt>
            <c:idx val="5"/>
            <c:spPr>
              <a:solidFill>
                <a:srgbClr val="70ad47"/>
              </a:solidFill>
              <a:ln w="25560">
                <a:solidFill>
                  <a:srgbClr val="ffffff"/>
                </a:solidFill>
                <a:round/>
              </a:ln>
            </c:spPr>
          </c:dPt>
          <c:dPt>
            <c:idx val="6"/>
            <c:spPr>
              <a:solidFill>
                <a:srgbClr val="255e91"/>
              </a:solidFill>
              <a:ln w="25560">
                <a:solidFill>
                  <a:srgbClr val="ffffff"/>
                </a:solidFill>
                <a:round/>
              </a:ln>
            </c:spPr>
          </c:dPt>
          <c:dPt>
            <c:idx val="7"/>
            <c:spPr>
              <a:solidFill>
                <a:srgbClr val="9e480e"/>
              </a:solidFill>
              <a:ln w="25560">
                <a:solidFill>
                  <a:srgbClr val="ffffff"/>
                </a:solidFill>
                <a:round/>
              </a:ln>
            </c:spPr>
          </c:dPt>
          <c:dLbls>
            <c:numFmt formatCode="General" sourceLinked="0"/>
            <c:dLbl>
              <c:idx val="0"/>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3"/>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4"/>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5"/>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6"/>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7"/>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txPr>
              <a:bodyPr wrap="square"/>
              <a:lstStyle/>
              <a:p>
                <a:pPr>
                  <a:defRPr b="0" sz="900" spc="-1" strike="noStrike">
                    <a:solidFill>
                      <a:srgbClr val="404040"/>
                    </a:solidFill>
                    <a:latin typeface="Calibri"/>
                  </a:defRPr>
                </a:pPr>
              </a:p>
            </c:txPr>
            <c:dLblPos val="bestFit"/>
            <c:showLegendKey val="0"/>
            <c:showVal val="1"/>
            <c:showCatName val="1"/>
            <c:showSerName val="0"/>
            <c:showPercent val="0"/>
            <c:separator>; </c:separator>
            <c:showLeaderLines val="1"/>
          </c:dLbls>
          <c:cat>
            <c:strRef>
              <c:f>categories</c:f>
              <c:strCache>
                <c:ptCount val="8"/>
                <c:pt idx="0">
                  <c:v>Столкновения</c:v>
                </c:pt>
                <c:pt idx="1">
                  <c:v>Наезд на пешехода</c:v>
                </c:pt>
                <c:pt idx="2">
                  <c:v>Наезд на стоящее ТС</c:v>
                </c:pt>
                <c:pt idx="3">
                  <c:v>Съезд с дороги</c:v>
                </c:pt>
                <c:pt idx="4">
                  <c:v>Падение пассажира</c:v>
                </c:pt>
                <c:pt idx="5">
                  <c:v>Наезд на велосипедиста</c:v>
                </c:pt>
                <c:pt idx="6">
                  <c:v>Опрокидывание</c:v>
                </c:pt>
                <c:pt idx="7">
                  <c:v>Наезд на препятствие</c:v>
                </c:pt>
              </c:strCache>
            </c:strRef>
          </c:cat>
          <c:val>
            <c:numRef>
              <c:f>0</c:f>
              <c:numCache>
                <c:formatCode>General</c:formatCode>
                <c:ptCount val="8"/>
                <c:pt idx="0">
                  <c:v>67</c:v>
                </c:pt>
                <c:pt idx="1">
                  <c:v>82</c:v>
                </c:pt>
                <c:pt idx="2">
                  <c:v>4</c:v>
                </c:pt>
                <c:pt idx="3">
                  <c:v>5</c:v>
                </c:pt>
                <c:pt idx="4">
                  <c:v>7</c:v>
                </c:pt>
                <c:pt idx="5">
                  <c:v>28</c:v>
                </c:pt>
                <c:pt idx="6">
                  <c:v>2</c:v>
                </c:pt>
                <c:pt idx="7">
                  <c:v>6</c:v>
                </c:pt>
              </c:numCache>
            </c:numRef>
          </c:val>
        </c:ser>
      </c:pie3DChart>
    </c:plotArea>
    <c:plotVisOnly val="1"/>
    <c:dispBlanksAs val="gap"/>
  </c:chart>
  <c:spPr>
    <a:solidFill>
      <a:srgbClr val="ffffff"/>
    </a:solidFill>
    <a:ln w="9360">
      <a:solidFill>
        <a:srgbClr val="d9d9d9"/>
      </a:solidFill>
      <a:round/>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Распределение раненых и погибших в ДТП детей по значению дорог</a:t>
            </a:r>
          </a:p>
        </c:rich>
      </c:tx>
      <c:overlay val="0"/>
      <c:spPr>
        <a:noFill/>
        <a:ln w="0">
          <a:noFill/>
        </a:ln>
      </c:spPr>
    </c:title>
    <c:autoTitleDeleted val="0"/>
    <c:plotArea>
      <c:barChart>
        <c:barDir val="bar"/>
        <c:grouping val="clustered"/>
        <c:varyColors val="0"/>
        <c:ser>
          <c:idx val="0"/>
          <c:order val="0"/>
          <c:tx>
            <c:strRef>
              <c:f>label 0</c:f>
              <c:strCache>
                <c:ptCount val="1"/>
                <c:pt idx="0">
                  <c:v>ранено</c:v>
                </c:pt>
              </c:strCache>
            </c:strRef>
          </c:tx>
          <c:spPr>
            <a:solidFill>
              <a:srgbClr val="00b0f0"/>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5"/>
                <c:pt idx="0">
                  <c:v/>
                </c:pt>
                <c:pt idx="1">
                  <c:v>Федерального значения</c:v>
                </c:pt>
                <c:pt idx="2">
                  <c:v>Регионального значения</c:v>
                </c:pt>
                <c:pt idx="3">
                  <c:v>Местного значения</c:v>
                </c:pt>
                <c:pt idx="4">
                  <c:v>Частного значения</c:v>
                </c:pt>
              </c:strCache>
            </c:strRef>
          </c:cat>
          <c:val>
            <c:numRef>
              <c:f>0</c:f>
              <c:numCache>
                <c:formatCode>General</c:formatCode>
                <c:ptCount val="5"/>
                <c:pt idx="1">
                  <c:v>8</c:v>
                </c:pt>
                <c:pt idx="2">
                  <c:v>47</c:v>
                </c:pt>
                <c:pt idx="3">
                  <c:v>139</c:v>
                </c:pt>
                <c:pt idx="4">
                  <c:v>24</c:v>
                </c:pt>
              </c:numCache>
            </c:numRef>
          </c:val>
        </c:ser>
        <c:ser>
          <c:idx val="1"/>
          <c:order val="1"/>
          <c:tx>
            <c:strRef>
              <c:f>label 1</c:f>
              <c:strCache>
                <c:ptCount val="1"/>
                <c:pt idx="0">
                  <c:v>погибло</c:v>
                </c:pt>
              </c:strCache>
            </c:strRef>
          </c:tx>
          <c:spPr>
            <a:solidFill>
              <a:srgbClr val="c00000"/>
            </a:solidFill>
            <a:ln w="0">
              <a:noFill/>
            </a:ln>
          </c:spPr>
          <c:invertIfNegative val="0"/>
          <c:dPt>
            <c:idx val="1"/>
            <c:invertIfNegative val="0"/>
            <c:spPr>
              <a:solidFill>
                <a:srgbClr val="c00000"/>
              </a:solidFill>
              <a:ln w="0">
                <a:noFill/>
              </a:ln>
            </c:spPr>
          </c:dPt>
          <c:dLbls>
            <c:numFmt formatCode="General" sourceLinked="0"/>
            <c:dLbl>
              <c:idx val="1"/>
              <c:layout>
                <c:manualLayout>
                  <c:x val="0"/>
                  <c:y val="-0.0152788388082506"/>
                </c:manualLayout>
              </c:layout>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5"/>
                <c:pt idx="0">
                  <c:v/>
                </c:pt>
                <c:pt idx="1">
                  <c:v>Федерального значения</c:v>
                </c:pt>
                <c:pt idx="2">
                  <c:v>Регионального значения</c:v>
                </c:pt>
                <c:pt idx="3">
                  <c:v>Местного значения</c:v>
                </c:pt>
                <c:pt idx="4">
                  <c:v>Частного значения</c:v>
                </c:pt>
              </c:strCache>
            </c:strRef>
          </c:cat>
          <c:val>
            <c:numRef>
              <c:f>1</c:f>
              <c:numCache>
                <c:formatCode>General</c:formatCode>
                <c:ptCount val="5"/>
                <c:pt idx="1">
                  <c:v>3</c:v>
                </c:pt>
                <c:pt idx="2">
                  <c:v>1</c:v>
                </c:pt>
                <c:pt idx="3">
                  <c:v>2</c:v>
                </c:pt>
                <c:pt idx="4">
                  <c:v>0</c:v>
                </c:pt>
              </c:numCache>
            </c:numRef>
          </c:val>
        </c:ser>
        <c:gapWidth val="182"/>
        <c:overlap val="0"/>
        <c:axId val="403472"/>
        <c:axId val="84584676"/>
      </c:barChart>
      <c:catAx>
        <c:axId val="403472"/>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b="0" sz="900" spc="-1" strike="noStrike">
                <a:solidFill>
                  <a:srgbClr val="595959"/>
                </a:solidFill>
                <a:latin typeface="Calibri"/>
              </a:defRPr>
            </a:pPr>
          </a:p>
        </c:txPr>
        <c:crossAx val="84584676"/>
        <c:crosses val="autoZero"/>
        <c:auto val="1"/>
        <c:lblAlgn val="ctr"/>
        <c:lblOffset val="100"/>
        <c:noMultiLvlLbl val="0"/>
      </c:catAx>
      <c:valAx>
        <c:axId val="84584676"/>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403472"/>
        <c:crosses val="autoZero"/>
        <c:crossBetween val="between"/>
      </c:valAx>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400" spc="-1" strike="noStrike">
                <a:solidFill>
                  <a:srgbClr val="595959"/>
                </a:solidFill>
                <a:latin typeface="Calibri"/>
              </a:defRPr>
            </a:pPr>
            <a:r>
              <a:rPr b="0" sz="1400" spc="-1" strike="noStrike">
                <a:solidFill>
                  <a:srgbClr val="595959"/>
                </a:solidFill>
                <a:latin typeface="Calibri"/>
              </a:rPr>
              <a:t>Пассажиры до 12 лет</a:t>
            </a:r>
          </a:p>
        </c:rich>
      </c:tx>
      <c:overlay val="0"/>
      <c:spPr>
        <a:noFill/>
        <a:ln w="0">
          <a:noFill/>
        </a:ln>
      </c:spPr>
    </c:title>
    <c:autoTitleDeleted val="0"/>
    <c:plotArea>
      <c:doughnutChart>
        <c:varyColors val="1"/>
        <c:ser>
          <c:idx val="0"/>
          <c:order val="0"/>
          <c:tx>
            <c:strRef>
              <c:f>label 0</c:f>
              <c:strCache>
                <c:ptCount val="1"/>
                <c:pt idx="0">
                  <c:v>Пассажиры до 12 лет</c:v>
                </c:pt>
              </c:strCache>
            </c:strRef>
          </c:tx>
          <c:spPr>
            <a:solidFill>
              <a:srgbClr val="5b9bd5"/>
            </a:solidFill>
            <a:ln w="0">
              <a:noFill/>
            </a:ln>
          </c:spPr>
          <c:explosion val="0"/>
          <c:dPt>
            <c:idx val="0"/>
            <c:spPr>
              <a:solidFill>
                <a:srgbClr val="c00000"/>
              </a:solidFill>
              <a:ln w="19080">
                <a:solidFill>
                  <a:srgbClr val="ffffff"/>
                </a:solidFill>
                <a:round/>
              </a:ln>
            </c:spPr>
          </c:dPt>
          <c:dPt>
            <c:idx val="1"/>
            <c:spPr>
              <a:solidFill>
                <a:srgbClr val="ffc000"/>
              </a:solidFill>
              <a:ln w="19080">
                <a:solidFill>
                  <a:srgbClr val="ffffff"/>
                </a:solidFill>
                <a:round/>
              </a:ln>
            </c:spPr>
          </c:dPt>
          <c:dLbls>
            <c:dLbl>
              <c:idx val="0"/>
              <c:txPr>
                <a:bodyPr wrap="square"/>
                <a:lstStyle/>
                <a:p>
                  <a:pPr>
                    <a:defRPr b="0" sz="900" spc="-1" strike="noStrike">
                      <a:solidFill>
                        <a:srgbClr val="404040"/>
                      </a:solidFill>
                      <a:latin typeface="Calibri"/>
                    </a:defRPr>
                  </a:pPr>
                </a:p>
              </c:txPr>
              <c:showLegendKey val="0"/>
              <c:showVal val="0"/>
              <c:showCatName val="0"/>
              <c:showSerName val="0"/>
              <c:showPercent val="1"/>
              <c:separator>
</c:separator>
            </c:dLbl>
            <c:dLbl>
              <c:idx val="1"/>
              <c:txPr>
                <a:bodyPr wrap="square"/>
                <a:lstStyle/>
                <a:p>
                  <a:pPr>
                    <a:defRPr b="0" sz="900" spc="-1" strike="noStrike">
                      <a:solidFill>
                        <a:srgbClr val="404040"/>
                      </a:solidFill>
                      <a:latin typeface="Calibri"/>
                    </a:defRPr>
                  </a:pPr>
                </a:p>
              </c:txPr>
              <c:showLegendKey val="0"/>
              <c:showVal val="0"/>
              <c:showCatName val="0"/>
              <c:showSerName val="0"/>
              <c:showPercent val="1"/>
              <c:separator>
</c:separator>
            </c:dLbl>
            <c:txPr>
              <a:bodyPr wrap="square"/>
              <a:lstStyle/>
              <a:p>
                <a:pPr>
                  <a:defRPr b="0" sz="900" spc="-1" strike="noStrike">
                    <a:solidFill>
                      <a:srgbClr val="404040"/>
                    </a:solidFill>
                    <a:latin typeface="Calibri"/>
                  </a:defRPr>
                </a:pPr>
              </a:p>
            </c:txPr>
            <c:showLegendKey val="0"/>
            <c:showVal val="0"/>
            <c:showCatName val="0"/>
            <c:showSerName val="0"/>
            <c:showPercent val="1"/>
            <c:separator>
</c:separator>
            <c:showLeaderLines val="1"/>
          </c:dLbls>
          <c:cat>
            <c:strRef>
              <c:f>categories</c:f>
              <c:strCache>
                <c:ptCount val="2"/>
                <c:pt idx="0">
                  <c:v>Перевозились с нарушением ПДД РФ</c:v>
                </c:pt>
                <c:pt idx="1">
                  <c:v>Перевозились без нарушений</c:v>
                </c:pt>
              </c:strCache>
            </c:strRef>
          </c:cat>
          <c:val>
            <c:numRef>
              <c:f>0</c:f>
              <c:numCache>
                <c:formatCode>General</c:formatCode>
                <c:ptCount val="2"/>
                <c:pt idx="0">
                  <c:v>8</c:v>
                </c:pt>
                <c:pt idx="1">
                  <c:v>63</c:v>
                </c:pt>
              </c:numCache>
            </c:numRef>
          </c:val>
        </c:ser>
        <c:firstSliceAng val="0"/>
        <c:holeSize val="50"/>
      </c:doughnutChart>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400" spc="-1" strike="noStrike">
                <a:solidFill>
                  <a:srgbClr val="595959"/>
                </a:solidFill>
                <a:latin typeface="Calibri"/>
              </a:defRPr>
            </a:pPr>
            <a:r>
              <a:rPr b="0" sz="1400" spc="-1" strike="noStrike">
                <a:solidFill>
                  <a:srgbClr val="595959"/>
                </a:solidFill>
                <a:latin typeface="Calibri"/>
              </a:rPr>
              <a:t>ДТП по категориям участников</a:t>
            </a:r>
          </a:p>
        </c:rich>
      </c:tx>
      <c:layout>
        <c:manualLayout>
          <c:xMode val="edge"/>
          <c:yMode val="edge"/>
          <c:x val="0.0792576961271102"/>
          <c:y val="0.00656044985941893"/>
        </c:manualLayout>
      </c:layout>
      <c:overlay val="0"/>
      <c:spPr>
        <a:noFill/>
        <a:ln w="0">
          <a:noFill/>
        </a:ln>
      </c:spPr>
    </c:title>
    <c:autoTitleDeleted val="0"/>
    <c:view3D>
      <c:rotX val="30"/>
      <c:rotY val="0"/>
      <c:rAngAx val="0"/>
      <c:perspective val="30"/>
    </c:view3D>
    <c:floor>
      <c:spPr>
        <a:solidFill>
          <a:srgbClr val="d9d9d9"/>
        </a:solidFill>
        <a:ln w="0">
          <a:noFill/>
        </a:ln>
      </c:spPr>
    </c:floor>
    <c:sideWall>
      <c:spPr>
        <a:solidFill>
          <a:srgbClr val="d9d9d9"/>
        </a:solidFill>
        <a:ln w="0">
          <a:noFill/>
        </a:ln>
      </c:spPr>
    </c:sideWall>
    <c:backWall>
      <c:spPr>
        <a:solidFill>
          <a:srgbClr val="d9d9d9"/>
        </a:solidFill>
        <a:ln w="0">
          <a:noFill/>
        </a:ln>
      </c:spPr>
    </c:backWall>
    <c:plotArea>
      <c:pie3DChart>
        <c:varyColors val="1"/>
        <c:ser>
          <c:idx val="0"/>
          <c:order val="0"/>
          <c:tx>
            <c:strRef>
              <c:f>label 0</c:f>
              <c:strCache>
                <c:ptCount val="1"/>
                <c:pt idx="0">
                  <c:v>ДТП по категориям участников</c:v>
                </c:pt>
              </c:strCache>
            </c:strRef>
          </c:tx>
          <c:spPr>
            <a:solidFill>
              <a:srgbClr val="5b9bd5"/>
            </a:solidFill>
            <a:ln w="0">
              <a:noFill/>
            </a:ln>
          </c:spPr>
          <c:explosion val="0"/>
          <c:dPt>
            <c:idx val="0"/>
            <c:spPr>
              <a:solidFill>
                <a:srgbClr val="5b9bd5"/>
              </a:solidFill>
              <a:ln w="25560">
                <a:solidFill>
                  <a:srgbClr val="ffffff"/>
                </a:solidFill>
                <a:round/>
              </a:ln>
            </c:spPr>
          </c:dPt>
          <c:dPt>
            <c:idx val="1"/>
            <c:spPr>
              <a:solidFill>
                <a:srgbClr val="ed7d31"/>
              </a:solidFill>
              <a:ln w="25560">
                <a:solidFill>
                  <a:srgbClr val="ffffff"/>
                </a:solidFill>
                <a:round/>
              </a:ln>
            </c:spPr>
          </c:dPt>
          <c:dPt>
            <c:idx val="2"/>
            <c:spPr>
              <a:solidFill>
                <a:srgbClr val="a5a5a5"/>
              </a:solidFill>
              <a:ln w="25560">
                <a:solidFill>
                  <a:srgbClr val="ffffff"/>
                </a:solidFill>
                <a:round/>
              </a:ln>
            </c:spPr>
          </c:dPt>
          <c:dPt>
            <c:idx val="3"/>
            <c:spPr>
              <a:solidFill>
                <a:srgbClr val="ffc000"/>
              </a:solidFill>
              <a:ln w="25560">
                <a:solidFill>
                  <a:srgbClr val="ffffff"/>
                </a:solidFill>
                <a:round/>
              </a:ln>
            </c:spPr>
          </c:dPt>
          <c:dLbls>
            <c:numFmt formatCode="General" sourceLinked="0"/>
            <c:dLbl>
              <c:idx val="0"/>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3"/>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txPr>
              <a:bodyPr wrap="square"/>
              <a:lstStyle/>
              <a:p>
                <a:pPr>
                  <a:defRPr b="0" sz="900" spc="-1" strike="noStrike">
                    <a:solidFill>
                      <a:srgbClr val="404040"/>
                    </a:solidFill>
                    <a:latin typeface="Calibri"/>
                  </a:defRPr>
                </a:pPr>
              </a:p>
            </c:txPr>
            <c:dLblPos val="bestFit"/>
            <c:showLegendKey val="0"/>
            <c:showVal val="1"/>
            <c:showCatName val="1"/>
            <c:showSerName val="0"/>
            <c:showPercent val="0"/>
            <c:separator>; </c:separator>
            <c:showLeaderLines val="1"/>
          </c:dLbls>
          <c:cat>
            <c:strRef>
              <c:f>categories</c:f>
              <c:strCache>
                <c:ptCount val="4"/>
                <c:pt idx="0">
                  <c:v>Пассажиры</c:v>
                </c:pt>
                <c:pt idx="1">
                  <c:v>Пешеходы</c:v>
                </c:pt>
                <c:pt idx="2">
                  <c:v>Велосипедисты</c:v>
                </c:pt>
                <c:pt idx="3">
                  <c:v>Водитель мототранспорта</c:v>
                </c:pt>
              </c:strCache>
            </c:strRef>
          </c:cat>
          <c:val>
            <c:numRef>
              <c:f>0</c:f>
              <c:numCache>
                <c:formatCode>General</c:formatCode>
                <c:ptCount val="4"/>
                <c:pt idx="0">
                  <c:v>76</c:v>
                </c:pt>
                <c:pt idx="1">
                  <c:v>84</c:v>
                </c:pt>
                <c:pt idx="2">
                  <c:v>28</c:v>
                </c:pt>
                <c:pt idx="3">
                  <c:v>14</c:v>
                </c:pt>
              </c:numCache>
            </c:numRef>
          </c:val>
        </c:ser>
      </c:pie3DChart>
    </c:plotArea>
    <c:plotVisOnly val="1"/>
    <c:dispBlanksAs val="gap"/>
  </c:chart>
  <c:spPr>
    <a:solidFill>
      <a:srgbClr val="ffffff"/>
    </a:solidFill>
    <a:ln w="9360">
      <a:solidFill>
        <a:srgbClr val="d9d9d9"/>
      </a:solidFill>
      <a:round/>
    </a:ln>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ДТП по собственной 
неосторожности детей</a:t>
            </a:r>
          </a:p>
        </c:rich>
      </c:tx>
      <c:layout>
        <c:manualLayout>
          <c:xMode val="edge"/>
          <c:yMode val="edge"/>
          <c:x val="0.721846597206828"/>
          <c:y val="0.365440592749405"/>
        </c:manualLayout>
      </c:layout>
      <c:overlay val="0"/>
      <c:spPr>
        <a:noFill/>
        <a:ln w="0">
          <a:noFill/>
        </a:ln>
      </c:spPr>
    </c:title>
    <c:autoTitleDeleted val="0"/>
    <c:plotArea>
      <c:layout>
        <c:manualLayout>
          <c:layoutTarget val="inner"/>
          <c:xMode val="edge"/>
          <c:yMode val="edge"/>
          <c:x val="0.075625"/>
          <c:y val="0.244777777777778"/>
          <c:w val="0.8268125"/>
          <c:h val="0.656888888888889"/>
        </c:manualLayout>
      </c:layout>
      <c:pieChart>
        <c:varyColors val="1"/>
        <c:ser>
          <c:idx val="0"/>
          <c:order val="0"/>
          <c:tx>
            <c:strRef>
              <c:f>label 0</c:f>
              <c:strCache>
                <c:ptCount val="1"/>
                <c:pt idx="0">
                  <c:v>ДТП</c:v>
                </c:pt>
              </c:strCache>
            </c:strRef>
          </c:tx>
          <c:spPr>
            <a:solidFill>
              <a:srgbClr val="5b9bd5"/>
            </a:solidFill>
            <a:ln w="0">
              <a:noFill/>
            </a:ln>
          </c:spPr>
          <c:explosion val="0"/>
          <c:dPt>
            <c:idx val="0"/>
            <c:spPr>
              <a:solidFill>
                <a:srgbClr val="5b9bd5"/>
              </a:solidFill>
              <a:ln w="19080">
                <a:solidFill>
                  <a:srgbClr val="ffffff"/>
                </a:solidFill>
                <a:round/>
              </a:ln>
            </c:spPr>
          </c:dPt>
          <c:dPt>
            <c:idx val="1"/>
            <c:spPr>
              <a:solidFill>
                <a:srgbClr val="ed7d31"/>
              </a:solidFill>
              <a:ln w="19080">
                <a:solidFill>
                  <a:srgbClr val="ffffff"/>
                </a:solidFill>
                <a:round/>
              </a:ln>
            </c:spPr>
          </c:dPt>
          <c:dPt>
            <c:idx val="2"/>
            <c:spPr>
              <a:solidFill>
                <a:srgbClr val="a5a5a5"/>
              </a:solidFill>
              <a:ln w="19080">
                <a:solidFill>
                  <a:srgbClr val="ffffff"/>
                </a:solidFill>
                <a:round/>
              </a:ln>
            </c:spPr>
          </c:dPt>
          <c:dPt>
            <c:idx val="3"/>
            <c:spPr>
              <a:solidFill>
                <a:srgbClr val="ffc000"/>
              </a:solidFill>
              <a:ln w="19080">
                <a:solidFill>
                  <a:srgbClr val="ffffff"/>
                </a:solidFill>
                <a:round/>
              </a:ln>
            </c:spPr>
          </c:dPt>
          <c:dPt>
            <c:idx val="4"/>
            <c:spPr>
              <a:solidFill>
                <a:srgbClr val="4472c4"/>
              </a:solidFill>
              <a:ln w="19080">
                <a:solidFill>
                  <a:srgbClr val="ffffff"/>
                </a:solidFill>
                <a:round/>
              </a:ln>
            </c:spPr>
          </c:dPt>
          <c:dPt>
            <c:idx val="5"/>
            <c:explosion val="26"/>
            <c:spPr>
              <a:solidFill>
                <a:srgbClr val="70ad47"/>
              </a:solidFill>
              <a:ln w="19080">
                <a:solidFill>
                  <a:srgbClr val="ffffff"/>
                </a:solidFill>
                <a:round/>
              </a:ln>
            </c:spPr>
          </c:dPt>
          <c:dPt>
            <c:idx val="6"/>
            <c:spPr>
              <a:solidFill>
                <a:srgbClr val="ff0000"/>
              </a:solidFill>
              <a:ln w="19080">
                <a:solidFill>
                  <a:srgbClr val="ffffff"/>
                </a:solidFill>
                <a:round/>
              </a:ln>
            </c:spPr>
          </c:dPt>
          <c:dPt>
            <c:idx val="7"/>
            <c:spPr>
              <a:solidFill>
                <a:srgbClr val="9e480e"/>
              </a:solidFill>
              <a:ln w="19080">
                <a:solidFill>
                  <a:srgbClr val="ffffff"/>
                </a:solidFill>
                <a:round/>
              </a:ln>
            </c:spPr>
          </c:dPt>
          <c:dPt>
            <c:idx val="8"/>
            <c:spPr>
              <a:solidFill>
                <a:srgbClr val="636363"/>
              </a:solidFill>
              <a:ln w="19080">
                <a:solidFill>
                  <a:srgbClr val="ffffff"/>
                </a:solidFill>
                <a:round/>
              </a:ln>
            </c:spPr>
          </c:dPt>
          <c:dPt>
            <c:idx val="9"/>
            <c:spPr>
              <a:solidFill>
                <a:srgbClr val="997300"/>
              </a:solidFill>
              <a:ln w="19080">
                <a:solidFill>
                  <a:srgbClr val="ffffff"/>
                </a:solidFill>
                <a:round/>
              </a:ln>
            </c:spPr>
          </c:dPt>
          <c:dPt>
            <c:idx val="10"/>
            <c:spPr>
              <a:solidFill>
                <a:srgbClr val="264478"/>
              </a:solidFill>
              <a:ln w="19080">
                <a:solidFill>
                  <a:srgbClr val="ffffff"/>
                </a:solidFill>
                <a:round/>
              </a:ln>
            </c:spPr>
          </c:dPt>
          <c:dPt>
            <c:idx val="11"/>
            <c:spPr>
              <a:solidFill>
                <a:srgbClr val="43682b"/>
              </a:solidFill>
              <a:ln w="19080">
                <a:solidFill>
                  <a:srgbClr val="ffffff"/>
                </a:solidFill>
                <a:round/>
              </a:ln>
            </c:spPr>
          </c:dPt>
          <c:dPt>
            <c:idx val="12"/>
            <c:spPr>
              <a:solidFill>
                <a:srgbClr val="7cafdd"/>
              </a:solidFill>
              <a:ln w="19080">
                <a:solidFill>
                  <a:srgbClr val="ffffff"/>
                </a:solidFill>
                <a:round/>
              </a:ln>
            </c:spPr>
          </c:dPt>
          <c:dPt>
            <c:idx val="13"/>
            <c:explosion val="15"/>
            <c:spPr>
              <a:solidFill>
                <a:srgbClr val="c5e0b4"/>
              </a:solidFill>
              <a:ln w="19080">
                <a:solidFill>
                  <a:srgbClr val="ffffff"/>
                </a:solidFill>
                <a:round/>
              </a:ln>
            </c:spPr>
          </c:dPt>
          <c:dPt>
            <c:idx val="14"/>
            <c:spPr>
              <a:solidFill>
                <a:srgbClr val="b7b7b7"/>
              </a:solidFill>
              <a:ln w="19080">
                <a:solidFill>
                  <a:srgbClr val="ffffff"/>
                </a:solidFill>
                <a:round/>
              </a:ln>
            </c:spPr>
          </c:dPt>
          <c:dPt>
            <c:idx val="15"/>
            <c:spPr>
              <a:solidFill>
                <a:srgbClr val="ffcd33"/>
              </a:solidFill>
              <a:ln w="19080">
                <a:solidFill>
                  <a:srgbClr val="ffffff"/>
                </a:solidFill>
                <a:round/>
              </a:ln>
            </c:spPr>
          </c:dPt>
          <c:dPt>
            <c:idx val="16"/>
            <c:spPr>
              <a:solidFill>
                <a:srgbClr val="698ed0"/>
              </a:solidFill>
              <a:ln w="19080">
                <a:solidFill>
                  <a:srgbClr val="ffffff"/>
                </a:solidFill>
                <a:round/>
              </a:ln>
            </c:spPr>
          </c:dPt>
          <c:dPt>
            <c:idx val="17"/>
            <c:spPr>
              <a:solidFill>
                <a:srgbClr val="8cc168"/>
              </a:solidFill>
              <a:ln w="19080">
                <a:solidFill>
                  <a:srgbClr val="ffffff"/>
                </a:solidFill>
                <a:round/>
              </a:ln>
            </c:spPr>
          </c:dPt>
          <c:dPt>
            <c:idx val="18"/>
            <c:spPr>
              <a:solidFill>
                <a:srgbClr val="327dc2"/>
              </a:solidFill>
              <a:ln w="19080">
                <a:solidFill>
                  <a:srgbClr val="ffffff"/>
                </a:solidFill>
                <a:round/>
              </a:ln>
            </c:spPr>
          </c:dPt>
          <c:dPt>
            <c:idx val="19"/>
            <c:spPr>
              <a:solidFill>
                <a:srgbClr val="d26012"/>
              </a:solidFill>
              <a:ln w="19080">
                <a:solidFill>
                  <a:srgbClr val="ffffff"/>
                </a:solidFill>
                <a:round/>
              </a:ln>
            </c:spPr>
          </c:dPt>
          <c:dPt>
            <c:idx val="20"/>
            <c:spPr>
              <a:solidFill>
                <a:srgbClr val="848484"/>
              </a:solidFill>
              <a:ln w="19080">
                <a:solidFill>
                  <a:srgbClr val="ffffff"/>
                </a:solidFill>
                <a:round/>
              </a:ln>
            </c:spPr>
          </c:dPt>
          <c:dPt>
            <c:idx val="21"/>
            <c:spPr>
              <a:solidFill>
                <a:srgbClr val="cc9a00"/>
              </a:solidFill>
              <a:ln w="19080">
                <a:solidFill>
                  <a:srgbClr val="ffffff"/>
                </a:solidFill>
                <a:round/>
              </a:ln>
            </c:spPr>
          </c:dPt>
          <c:dPt>
            <c:idx val="22"/>
            <c:spPr>
              <a:solidFill>
                <a:srgbClr val="335aa1"/>
              </a:solidFill>
              <a:ln w="19080">
                <a:solidFill>
                  <a:srgbClr val="ffffff"/>
                </a:solidFill>
                <a:round/>
              </a:ln>
            </c:spPr>
          </c:dPt>
          <c:dPt>
            <c:idx val="23"/>
            <c:spPr>
              <a:solidFill>
                <a:srgbClr val="5a8a39"/>
              </a:solidFill>
              <a:ln w="19080">
                <a:solidFill>
                  <a:srgbClr val="ffffff"/>
                </a:solidFill>
                <a:round/>
              </a:ln>
            </c:spPr>
          </c:dPt>
          <c:dPt>
            <c:idx val="24"/>
            <c:explosion val="17"/>
            <c:spPr>
              <a:solidFill>
                <a:srgbClr val="ffd966"/>
              </a:solidFill>
              <a:ln w="19080">
                <a:solidFill>
                  <a:srgbClr val="ffffff"/>
                </a:solidFill>
                <a:round/>
              </a:ln>
            </c:spPr>
          </c:dPt>
          <c:dPt>
            <c:idx val="25"/>
            <c:spPr>
              <a:solidFill>
                <a:srgbClr val="f4b183"/>
              </a:solidFill>
              <a:ln w="19080">
                <a:solidFill>
                  <a:srgbClr val="ffffff"/>
                </a:solidFill>
                <a:round/>
              </a:ln>
            </c:spPr>
          </c:dPt>
          <c:dPt>
            <c:idx val="26"/>
            <c:spPr>
              <a:solidFill>
                <a:srgbClr val="c9c9c9"/>
              </a:solidFill>
              <a:ln w="19080">
                <a:solidFill>
                  <a:srgbClr val="ffffff"/>
                </a:solidFill>
                <a:round/>
              </a:ln>
            </c:spPr>
          </c:dPt>
          <c:dPt>
            <c:idx val="27"/>
            <c:spPr>
              <a:solidFill>
                <a:srgbClr val="ffd966"/>
              </a:solidFill>
              <a:ln w="19080">
                <a:solidFill>
                  <a:srgbClr val="ffffff"/>
                </a:solidFill>
                <a:round/>
              </a:ln>
            </c:spPr>
          </c:dPt>
          <c:dPt>
            <c:idx val="28"/>
            <c:spPr>
              <a:solidFill>
                <a:srgbClr val="8faadc"/>
              </a:solidFill>
              <a:ln w="19080">
                <a:solidFill>
                  <a:srgbClr val="ffffff"/>
                </a:solidFill>
                <a:round/>
              </a:ln>
            </c:spPr>
          </c:dPt>
          <c:dLbls>
            <c:numFmt formatCode="General" sourceLinked="0"/>
            <c:dLbl>
              <c:idx val="0"/>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3"/>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4"/>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5"/>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6"/>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7"/>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8"/>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9"/>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0"/>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1"/>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2"/>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3"/>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4"/>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5"/>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6"/>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7"/>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8"/>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9"/>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0"/>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1"/>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2"/>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3"/>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4"/>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5"/>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6"/>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7"/>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8"/>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txPr>
              <a:bodyPr wrap="square"/>
              <a:lstStyle/>
              <a:p>
                <a:pPr>
                  <a:defRPr b="0" sz="900" spc="-1" strike="noStrike">
                    <a:solidFill>
                      <a:srgbClr val="404040"/>
                    </a:solidFill>
                    <a:latin typeface="Calibri"/>
                  </a:defRPr>
                </a:pPr>
              </a:p>
            </c:txPr>
            <c:dLblPos val="bestFit"/>
            <c:showLegendKey val="0"/>
            <c:showVal val="1"/>
            <c:showCatName val="1"/>
            <c:showSerName val="0"/>
            <c:showPercent val="0"/>
            <c:separator>; </c:separator>
            <c:showLeaderLines val="1"/>
          </c:dLbls>
          <c:cat>
            <c:strRef>
              <c:f>categories</c:f>
              <c:strCache>
                <c:ptCount val="29"/>
                <c:pt idx="0">
                  <c:v>Арти</c:v>
                </c:pt>
                <c:pt idx="1">
                  <c:v>Байкалово</c:v>
                </c:pt>
                <c:pt idx="2">
                  <c:v>Березовский</c:v>
                </c:pt>
                <c:pt idx="3">
                  <c:v>Богданович</c:v>
                </c:pt>
                <c:pt idx="4">
                  <c:v>Верхняя Салда</c:v>
                </c:pt>
                <c:pt idx="5">
                  <c:v>Екатеринбург</c:v>
                </c:pt>
                <c:pt idx="6">
                  <c:v>Заречный</c:v>
                </c:pt>
                <c:pt idx="7">
                  <c:v>Ирбит</c:v>
                </c:pt>
                <c:pt idx="8">
                  <c:v>Каменск-Уральский</c:v>
                </c:pt>
                <c:pt idx="9">
                  <c:v>Камышлов</c:v>
                </c:pt>
                <c:pt idx="10">
                  <c:v>Краснотурьинск</c:v>
                </c:pt>
                <c:pt idx="11">
                  <c:v>Красноуфимск</c:v>
                </c:pt>
                <c:pt idx="12">
                  <c:v>Нижние Серги</c:v>
                </c:pt>
                <c:pt idx="13">
                  <c:v>Нижний Тагил</c:v>
                </c:pt>
                <c:pt idx="14">
                  <c:v>Новолялинский</c:v>
                </c:pt>
                <c:pt idx="15">
                  <c:v>Новоуральск</c:v>
                </c:pt>
                <c:pt idx="16">
                  <c:v>Первоуральск</c:v>
                </c:pt>
                <c:pt idx="17">
                  <c:v>Полевской</c:v>
                </c:pt>
                <c:pt idx="18">
                  <c:v>Ревда</c:v>
                </c:pt>
                <c:pt idx="19">
                  <c:v>Реж</c:v>
                </c:pt>
                <c:pt idx="20">
                  <c:v>Свободный</c:v>
                </c:pt>
                <c:pt idx="21">
                  <c:v>Североуральск</c:v>
                </c:pt>
                <c:pt idx="22">
                  <c:v>Серов</c:v>
                </c:pt>
                <c:pt idx="23">
                  <c:v>Сухой Лог</c:v>
                </c:pt>
                <c:pt idx="24">
                  <c:v>Сысерть</c:v>
                </c:pt>
                <c:pt idx="25">
                  <c:v>Талица</c:v>
                </c:pt>
                <c:pt idx="26">
                  <c:v>Тугулым</c:v>
                </c:pt>
                <c:pt idx="27">
                  <c:v>Туринск</c:v>
                </c:pt>
                <c:pt idx="28">
                  <c:v>Шалинский</c:v>
                </c:pt>
              </c:strCache>
            </c:strRef>
          </c:cat>
          <c:val>
            <c:numRef>
              <c:f>0</c:f>
              <c:numCache>
                <c:formatCode>General</c:formatCode>
                <c:ptCount val="29"/>
                <c:pt idx="2">
                  <c:v>1</c:v>
                </c:pt>
                <c:pt idx="3">
                  <c:v>1</c:v>
                </c:pt>
                <c:pt idx="4">
                  <c:v>1</c:v>
                </c:pt>
                <c:pt idx="5">
                  <c:v>29</c:v>
                </c:pt>
                <c:pt idx="7">
                  <c:v>2</c:v>
                </c:pt>
                <c:pt idx="8">
                  <c:v>2</c:v>
                </c:pt>
                <c:pt idx="10">
                  <c:v>1</c:v>
                </c:pt>
                <c:pt idx="11">
                  <c:v>1</c:v>
                </c:pt>
                <c:pt idx="13">
                  <c:v>10</c:v>
                </c:pt>
                <c:pt idx="14">
                  <c:v>1</c:v>
                </c:pt>
                <c:pt idx="15">
                  <c:v>1</c:v>
                </c:pt>
                <c:pt idx="16">
                  <c:v>2</c:v>
                </c:pt>
                <c:pt idx="17">
                  <c:v>1</c:v>
                </c:pt>
                <c:pt idx="18">
                  <c:v>1</c:v>
                </c:pt>
                <c:pt idx="20">
                  <c:v>1</c:v>
                </c:pt>
                <c:pt idx="23">
                  <c:v>1</c:v>
                </c:pt>
                <c:pt idx="24">
                  <c:v>3</c:v>
                </c:pt>
                <c:pt idx="26">
                  <c:v>1</c:v>
                </c:pt>
                <c:pt idx="28">
                  <c:v>1</c:v>
                </c:pt>
              </c:numCache>
            </c:numRef>
          </c:val>
        </c:ser>
        <c:firstSliceAng val="0"/>
      </c:pieChart>
      <c:spPr>
        <a:noFill/>
        <a:ln w="0">
          <a:noFill/>
        </a:ln>
      </c:spPr>
    </c:plotArea>
    <c:plotVisOnly val="1"/>
    <c:dispBlanksAs val="gap"/>
  </c:chart>
  <c:spPr>
    <a:solidFill>
      <a:srgbClr val="ffffff"/>
    </a:solidFill>
    <a:ln w="9360">
      <a:solidFill>
        <a:srgbClr val="d9d9d9"/>
      </a:solidFill>
      <a:round/>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Application>LibreOffice/7.1.2.2$Windows_X86_64 LibreOffice_project/8a45595d069ef5570103caea1b71cc9d82b2aae4</Application>
  <AppVersion>15.0000</AppVersion>
  <Pages>8</Pages>
  <Words>2066</Words>
  <Characters>12347</Characters>
  <CharactersWithSpaces>14414</CharactersWithSpaces>
  <Paragraphs>45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2023-08-14T07:53:00Z</dcterms:created>
  <dc:creator>mbershauer</dc:creator>
  <dc:description/>
  <dc:language>ru-RU</dc:language>
  <cp:lastModifiedBy/>
  <cp:lastPrinted>2023-08-25T11:48:00Z</cp:lastPrinted>
  <dcterms:modified xsi:type="dcterms:W3CDTF">2023-08-25T11:53:34Z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