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709" w:right="-284" w:hanging="0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 </w:t>
      </w:r>
      <w:r>
        <w:rPr>
          <w:rFonts w:ascii="PT Astra Serif" w:hAnsi="PT Astra Serif"/>
          <w:b/>
          <w:sz w:val="28"/>
          <w:szCs w:val="28"/>
        </w:rPr>
        <w:t>Анализ</w:t>
      </w:r>
    </w:p>
    <w:p>
      <w:pPr>
        <w:pStyle w:val="Normal"/>
        <w:ind w:left="-709" w:right="-284" w:hanging="0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состояния детского дорожно-транспортного травматизма</w:t>
      </w:r>
    </w:p>
    <w:p>
      <w:pPr>
        <w:pStyle w:val="Normal"/>
        <w:ind w:left="-709" w:right="-284" w:hanging="0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на территории Свердловской области за 3 месяца 2025 года</w:t>
      </w:r>
    </w:p>
    <w:p>
      <w:pPr>
        <w:pStyle w:val="Normal"/>
        <w:suppressAutoHyphens w:val="true"/>
        <w:jc w:val="both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</w:p>
    <w:p>
      <w:pPr>
        <w:pStyle w:val="Normal"/>
        <w:suppressAutoHyphens w:val="true"/>
        <w:ind w:left="-709" w:right="-1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территории Свердловской области </w:t>
        <w:br/>
        <w:t>за 3 месяца 2025 г. зарегистрировано 46</w:t>
        <w:br/>
        <w:t xml:space="preserve">(45; 2,2%) ДТП с участием несовершеннолетних, в которых 53 (55; -3,6%) ребенка получили травмы различной степени тяжести. </w:t>
      </w:r>
    </w:p>
    <w:p>
      <w:pPr>
        <w:pStyle w:val="Normal"/>
        <w:suppressAutoHyphens w:val="true"/>
        <w:ind w:left="-709" w:right="-1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Дорожно-транспортные происшествия, в результате которых пострадали дети, составили 11% от общего количества учетных дорожных аварий. Таким образом, дети стали участниками каждого 9 ДТП с пострадавшими в регионе.</w:t>
      </w:r>
    </w:p>
    <w:p>
      <w:pPr>
        <w:pStyle w:val="Normal"/>
        <w:ind w:left="-709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12 муниципальных образованиях Свердловской области отмечается рост аварийности с участием несовершеннолетних. На 100% увеличилось количество ДТП в Каменск-Уральском (3 ДТП), Североуральске и Сысерти (по 2 ДТП), Артемовском, Байкалово, Камышлове, Нижних Сергах, Полевском, Пышме, Туринске и Качканаре (по 1 ДТП).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28% (15) пострадавших в ДТП детей приходится на дошкольный возраст, 34% (18) на начальную школу и 38% (20) на среднее школьное звено, при этом большая часть пострадали в качестве пассажиров транспортных средств.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причине нарушения ПДД РФ водителями транспортных средств количество ДТП снизилось на 14,6% (35), количество раненых в них детей на 17,6% (42).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63% ДТП (31) произошли при ясной погоде и 33% (15) при неблагоприятных метеорологических условиях (пасмурно, снегопад, метель). Неблагоприятные погодные условия косвенно могли повлиять на возникновение ДТП с участием детей, так как ухудшается видимость, возрастает тормозной и остановочный путь у транспортных средств. </w:t>
      </w:r>
    </w:p>
    <w:p>
      <w:pPr>
        <w:pStyle w:val="Normal"/>
        <w:ind w:left="-709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Все происшествия с участием несовершеннолетних произошли в период с 00 ч. 00 мин. до 22 ч. 00 мин. (46 ДТП, 53 ранены), при этом пик происшествий пришелся на период с 09 ч. 00 мин. до 12 ч. 00 мин. (9 ДТП, 11 ранены) и с 15 ч. 00 мин. до 18 ч. 00 мин. (13 ДТП, 15 ранены).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автомобильных дорогах, расположенных в черте населенных пунктов, зарегистрировано 36 ДТП (+16,1%), в которых пострадал 41 (+28,1%) ребенок. Рост количества ДТП в населенных пунктах зафиксирован в Богдановиче, Каменск-Уральском, Североуральске и Сысертском районе - по 2 ДТП, в Березовском, Нижней Туре, Полевском, Каменском, Пригородном и Артемовском районах по 1 ДТП. На автомобильных дорогах вне населенных пунктов зарегистрировано 10 ДТП (-28,6%), в результате которых травмированы 12 (-47,8%) детей.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Из них, на дорогах федерального значения зарегистрировано 4 ДТП (-20%), в которых пострадали 5 детей (уровень АППГ). На автомобильных дорогах регионального значения произошло 13 ДТП (-31,6%), в которых 16 (-44,8%) детей получили травмы различной степени тяжести. На дорогах местного значения зарегистрировано 23 ДТП (+21,1%), в которых травмированы 26 (+36,8%) детей. На дорогах частного значения зарегистрировано 6 ДТП (+100%), в которых ранены 6 детей (+100%).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 категориям участников дорожного движения показатели распределились следующим образом</w:t>
      </w:r>
      <w:r>
        <w:rPr>
          <w:rFonts w:ascii="PT Astra Serif" w:hAnsi="PT Astra Serif"/>
          <w:sz w:val="28"/>
          <w:szCs w:val="28"/>
        </w:rPr>
        <w:t xml:space="preserve">: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tbl>
      <w:tblPr>
        <w:tblStyle w:val="ab"/>
        <w:tblW w:w="10348" w:type="dxa"/>
        <w:jc w:val="left"/>
        <w:tblInd w:w="-7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66"/>
        <w:gridCol w:w="6981"/>
      </w:tblGrid>
      <w:tr>
        <w:trPr/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999615" cy="971550"/>
                  <wp:effectExtent l="0" t="0" r="0" b="0"/>
                  <wp:docPr id="1" name="Рисунок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61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left="28" w:firstLine="567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kern w:val="0"/>
                <w:sz w:val="28"/>
                <w:szCs w:val="28"/>
                <w:lang w:val="ru-RU" w:bidi="ar-SA"/>
              </w:rPr>
              <w:t xml:space="preserve">С участием </w:t>
            </w:r>
            <w:r>
              <w:rPr>
                <w:rFonts w:ascii="PT Astra Serif" w:hAnsi="PT Astra Serif"/>
                <w:b/>
                <w:i/>
                <w:kern w:val="0"/>
                <w:sz w:val="28"/>
                <w:szCs w:val="28"/>
                <w:lang w:val="ru-RU" w:bidi="ar-SA"/>
              </w:rPr>
              <w:t>детей - пассажиров</w:t>
            </w:r>
            <w:r>
              <w:rPr>
                <w:rFonts w:ascii="PT Astra Serif" w:hAnsi="PT Astra Serif"/>
                <w:kern w:val="0"/>
                <w:sz w:val="28"/>
                <w:szCs w:val="28"/>
                <w:lang w:val="ru-RU" w:bidi="ar-SA"/>
              </w:rPr>
              <w:t xml:space="preserve"> зарегистрировано 22 (35; -37,1%) ДТП, в которых пострадали 27 (45; -40%) детей. Из них в возрасте до 12 лет травмированы 24 ребенка (29; -17,2%). </w:t>
            </w:r>
          </w:p>
          <w:p>
            <w:pPr>
              <w:pStyle w:val="Normal"/>
              <w:widowControl/>
              <w:spacing w:before="0" w:after="0"/>
              <w:ind w:left="312" w:firstLine="283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kern w:val="0"/>
                <w:sz w:val="28"/>
                <w:szCs w:val="28"/>
                <w:lang w:val="ru-RU" w:bidi="ar-SA"/>
              </w:rPr>
              <w:t>Доля ДТП с участием детей - пассажиров от общего</w:t>
            </w:r>
          </w:p>
        </w:tc>
      </w:tr>
    </w:tbl>
    <w:p>
      <w:pPr>
        <w:pStyle w:val="Normal"/>
        <w:ind w:left="-709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показателя аварийности с участием детей составила 48%.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10 (-23,1%) случаях ДТП с пострадавшими детьми-пассажирами произошли по причине нарушения ПДД РФ водителем, в чьем транспортном средстве находились дети, в этих авариях пострадали 12 детей.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5 ДТП (5; уровень АППГ) водители перевозили юных пассажиров в возрасте до 12 лет с нарушением правил перевозки детей, в этих авариях травмированы </w:t>
        <w:br/>
        <w:t>5 детей (8; -37,5%).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Подавляющее большинство происшествий, в которых пострадали дети-пассажиры - это столкновения транспортных средств (17; -39,3%), количество травмированных в них детей уменьшилось на 44,7% (21).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Устойчивый рост количества ДТП с участием детей-пассажиров зарегистрирован на 200% с 11.00 до 12.00 (3 ДТП, 4 ранены) и на 100% с 10.00 до 11.00 (2 ДТП, 2 ранены). Большинство аварий произошло в понедельник (4 ДТП, 5 ранены), среду (4 ДТП, 4 ранены) и в субботу (4 ДТП, 5 ранены). </w:t>
      </w:r>
    </w:p>
    <w:p>
      <w:pPr>
        <w:pStyle w:val="Normal"/>
        <w:ind w:left="-709" w:firstLine="720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tbl>
      <w:tblPr>
        <w:tblStyle w:val="ab"/>
        <w:tblW w:w="10343" w:type="dxa"/>
        <w:jc w:val="left"/>
        <w:tblInd w:w="-7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5"/>
        <w:gridCol w:w="7087"/>
      </w:tblGrid>
      <w:tr>
        <w:trPr>
          <w:trHeight w:val="1892" w:hRule="atLeast"/>
        </w:trPr>
        <w:tc>
          <w:tcPr>
            <w:tcW w:w="32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894840" cy="1200150"/>
                  <wp:effectExtent l="0" t="0" r="0" b="0"/>
                  <wp:docPr id="2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firstLine="748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kern w:val="0"/>
                <w:sz w:val="28"/>
                <w:szCs w:val="28"/>
                <w:lang w:val="ru-RU" w:bidi="ar-SA"/>
              </w:rPr>
              <w:t>С участием</w:t>
            </w:r>
            <w:r>
              <w:rPr>
                <w:rFonts w:ascii="PT Astra Serif" w:hAnsi="PT Astra Serif"/>
                <w:b/>
                <w:i/>
                <w:kern w:val="0"/>
                <w:sz w:val="28"/>
                <w:szCs w:val="28"/>
                <w:lang w:val="ru-RU" w:bidi="ar-SA"/>
              </w:rPr>
              <w:t xml:space="preserve"> детей-пешеходов </w:t>
            </w:r>
            <w:r>
              <w:rPr>
                <w:rFonts w:ascii="PT Astra Serif" w:hAnsi="PT Astra Serif"/>
                <w:kern w:val="0"/>
                <w:sz w:val="28"/>
                <w:szCs w:val="28"/>
                <w:lang w:val="ru-RU" w:bidi="ar-SA"/>
              </w:rPr>
              <w:t xml:space="preserve">зарегистрировано </w:t>
              <w:br/>
              <w:t xml:space="preserve">23 ДТП (10; +130%), в которых пострадали 24 (10; +140%) ребенка. </w:t>
            </w:r>
          </w:p>
          <w:p>
            <w:pPr>
              <w:pStyle w:val="Normal"/>
              <w:widowControl/>
              <w:spacing w:before="0" w:after="0"/>
              <w:ind w:firstLine="748"/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>
              <w:rPr>
                <w:rFonts w:ascii="PT Astra Serif" w:hAnsi="PT Astra Serif"/>
                <w:kern w:val="0"/>
                <w:sz w:val="28"/>
                <w:szCs w:val="28"/>
                <w:lang w:val="ru-RU" w:bidi="ar-SA"/>
              </w:rPr>
              <w:t>От общего показателя аварийности с участием несовершеннолетних доля ДТП с участием детей- пешеходов составила 52%.</w:t>
            </w:r>
          </w:p>
        </w:tc>
      </w:tr>
    </w:tbl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 ДТП (4; +175%) произошло по причине собственной неосторожности несовершеннолетних пешеходов, в этих авариях пострадали 11 детей (4; +175%). Основными нарушениями ПДД РФ, допущенными юными пешеходами, стали: неподчинение сигналам регулирования -  4 ДТП, переход проезжей части вне пешеходного перехода – 2 ДТП, переход проезжей части вне пешеходного перехода в зоне его видимости – 1 ДТП, переход проезжей части в неустановленном месте в зоне видимости перекрестка – 2 ДТП.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</w:rPr>
        <w:t>43% наездов на детей (10) совершены на пешеходных переходах. В таких происшествиях травмированы 10 детей (+150%). На 100% увеличилось количество ДТП (2) и травмированных в них детей (2), на нерегулируемых пешеходных переходах, расположенных на участках дорог или улиц, проходящих вдоль территорий школ или иных детских учреждений.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 ДТП (+200%) произошло в темное время суток, когда на верхней одежде детей отсутствовали световозвращающие элементы.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возрастным характеристикам, наибольшее количество ДТП произошло с участием детей в возрасте 11-12 лет (4 ДТП, +300%), 12-13 лет (3 ДТП, +200%) и 15 лет (3 ДТП, +200%).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Все наезды произошли в городах и населенных пунктах (+130%).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дням недели значительный рост ДТП наблюдается в субботу (5 ДТП, 5 ранены, + 400%) четверг (4 ДТП, 5 ранены, +300%). По времени наибольшее количество дорожных аварий зафиксировано в обеденное и вечернее время, в период с 13 до 14 часов (4 ДТП, 4 ранены) и с 17 до 18 часов (6 ДТП, 7 ранены).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8 случаях (35%) ДТП произошли по маршрутам следования детей из дома в образовательную организацию и обратно: МБДОУ Детский сад № 34 г. Екатеринбург, МАОУ СОШ № 11 г. Североуральск, МБОУ СОШ № 25 г. Н.Тагил, МАОУ СОШ № 3 г. В.Пышма, ГБУЗ СО «Каменск-Уральская школа» г. К-Уральский, МАОУ СОШ № 4 г. Арамиль, СОШ с. Косой Брод г. Полевской.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 участием </w:t>
      </w:r>
      <w:r>
        <w:rPr>
          <w:rFonts w:ascii="PT Astra Serif" w:hAnsi="PT Astra Serif"/>
          <w:b/>
          <w:i/>
          <w:sz w:val="28"/>
          <w:szCs w:val="28"/>
        </w:rPr>
        <w:t>юного водителя мототранспорта</w:t>
      </w:r>
      <w:r>
        <w:rPr>
          <w:rFonts w:ascii="PT Astra Serif" w:hAnsi="PT Astra Serif"/>
          <w:sz w:val="28"/>
          <w:szCs w:val="28"/>
        </w:rPr>
        <w:t xml:space="preserve"> зарегистрировано 1 ДТП (0; +100%), в результате которого 1 (0; +100%) ребенок травмирован. Права управления мототранспортом подросток не имел, передвигался на мототехнике в населенном пункте. Участником ДТП стал ребенок-водитель в возрасте 14 лет.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 участием </w:t>
      </w:r>
      <w:r>
        <w:rPr>
          <w:rFonts w:ascii="PT Astra Serif" w:hAnsi="PT Astra Serif"/>
          <w:b/>
          <w:i/>
          <w:sz w:val="28"/>
          <w:szCs w:val="28"/>
        </w:rPr>
        <w:t>юного велосипедиста</w:t>
      </w:r>
      <w:r>
        <w:rPr>
          <w:rFonts w:ascii="PT Astra Serif" w:hAnsi="PT Astra Serif"/>
          <w:sz w:val="28"/>
          <w:szCs w:val="28"/>
        </w:rPr>
        <w:t xml:space="preserve"> зарегистрировано 1 ДТП (0; +100%), в результате которого травмирован 1 ребенок (0; +100%). Во время ДТП 14-летний подросток использовал средства пассивной защиты (шлем, налокотники, наколенники), происшествие произошло по собственной неосторожности несовершеннолетнего (+100%).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Причинами подавляющего большинства происшествий стали грубые нарушения ПДД РФ водителями транспортных средств (превышение скоростного режима, выезд на полосу встречного движения, несоблюдение правил проезда пешеходных переходов).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Вина несовершеннолетних усматривается в 8 ДТП из 46 и составляет 17% от общего количества дорожных аварий с участием детей: 5 ДТП в Екатеринбурге </w:t>
        <w:br/>
        <w:t xml:space="preserve">(+150%), 2 ДТП в Первоуральске (+100%), по 1 ДТП в Каменск-Уральском (+100%), Богдановиче (+100%), Верхней Пышме (+100%), Пышме (+100%), Сысерти (100%) и Качканаре (+100%). </w:t>
      </w:r>
    </w:p>
    <w:p>
      <w:pPr>
        <w:pStyle w:val="Normal"/>
        <w:ind w:left="-709" w:hanging="0"/>
        <w:jc w:val="both"/>
        <w:rPr>
          <w:rFonts w:ascii="PT Astra Serif" w:hAnsi="PT Astra Serif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701" w:right="566" w:header="708" w:top="851" w:footer="0" w:bottom="56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choolBook">
    <w:charset w:val="cc"/>
    <w:family w:val="roman"/>
    <w:pitch w:val="variable"/>
  </w:font>
  <w:font w:name="Arial">
    <w:charset w:val="cc"/>
    <w:family w:val="roman"/>
    <w:pitch w:val="variable"/>
  </w:font>
  <w:font w:name="PT Astra Serif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424175484"/>
    </w:sdtPr>
    <w:sdtContent>
      <w:p>
        <w:pPr>
          <w:pStyle w:val="Style28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8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f785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4"/>
    <w:qFormat/>
    <w:rsid w:val="00ed32fc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627155"/>
    <w:rPr>
      <w:rFonts w:ascii="Segoe UI" w:hAnsi="Segoe UI" w:eastAsia="Times New Roman" w:cs="Segoe UI"/>
      <w:sz w:val="18"/>
      <w:szCs w:val="18"/>
      <w:lang w:eastAsia="ru-RU"/>
    </w:rPr>
  </w:style>
  <w:style w:type="character" w:styleId="Style16" w:customStyle="1">
    <w:name w:val="Текст сноски Знак"/>
    <w:basedOn w:val="DefaultParagraphFont"/>
    <w:link w:val="a8"/>
    <w:semiHidden/>
    <w:qFormat/>
    <w:rsid w:val="00874a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874a55"/>
    <w:rPr>
      <w:vertAlign w:val="superscript"/>
    </w:rPr>
  </w:style>
  <w:style w:type="character" w:styleId="2" w:customStyle="1">
    <w:name w:val="Основной текст (2)_"/>
    <w:link w:val="21"/>
    <w:uiPriority w:val="99"/>
    <w:qFormat/>
    <w:rsid w:val="00df5b6b"/>
    <w:rPr>
      <w:sz w:val="28"/>
      <w:szCs w:val="28"/>
      <w:shd w:fill="FFFFFF" w:val="clear"/>
    </w:rPr>
  </w:style>
  <w:style w:type="character" w:styleId="Style18">
    <w:name w:val="Выделение"/>
    <w:qFormat/>
    <w:rsid w:val="00df5b6b"/>
    <w:rPr>
      <w:i/>
      <w:iCs/>
    </w:rPr>
  </w:style>
  <w:style w:type="character" w:styleId="Style19" w:customStyle="1">
    <w:name w:val="Верхний колонтитул Знак"/>
    <w:basedOn w:val="DefaultParagraphFont"/>
    <w:link w:val="ae"/>
    <w:uiPriority w:val="99"/>
    <w:qFormat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0" w:customStyle="1">
    <w:name w:val="Нижний колонтитул Знак"/>
    <w:basedOn w:val="DefaultParagraphFont"/>
    <w:link w:val="af0"/>
    <w:uiPriority w:val="99"/>
    <w:qFormat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2">
    <w:name w:val="Body Text"/>
    <w:basedOn w:val="Normal"/>
    <w:link w:val="a5"/>
    <w:rsid w:val="00ed32fc"/>
    <w:pPr>
      <w:jc w:val="center"/>
    </w:pPr>
    <w:rPr>
      <w:b/>
      <w:bCs/>
      <w:i/>
      <w:iCs/>
      <w:sz w:val="26"/>
      <w:szCs w:val="26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 Unicode MS"/>
    </w:rPr>
  </w:style>
  <w:style w:type="paragraph" w:styleId="NoSpacing">
    <w:name w:val="No Spacing"/>
    <w:uiPriority w:val="1"/>
    <w:qFormat/>
    <w:rsid w:val="00bf785c"/>
    <w:pPr>
      <w:widowControl/>
      <w:bidi w:val="0"/>
      <w:spacing w:lineRule="auto" w:line="240" w:before="0" w:after="0"/>
      <w:jc w:val="left"/>
    </w:pPr>
    <w:rPr>
      <w:rFonts w:ascii="SchoolBook" w:hAnsi="SchoolBook" w:eastAsia="Calibri" w:cs="Times New Roman" w:eastAsiaTheme="minorHAnsi"/>
      <w:color w:val="auto"/>
      <w:kern w:val="0"/>
      <w:sz w:val="28"/>
      <w:szCs w:val="28"/>
      <w:lang w:val="ru-RU" w:eastAsia="en-US" w:bidi="ar-SA"/>
    </w:rPr>
  </w:style>
  <w:style w:type="paragraph" w:styleId="Default" w:customStyle="1">
    <w:name w:val="Default"/>
    <w:qFormat/>
    <w:rsid w:val="00ed32f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627155"/>
    <w:pPr/>
    <w:rPr>
      <w:rFonts w:ascii="Segoe UI" w:hAnsi="Segoe UI" w:cs="Segoe UI"/>
      <w:sz w:val="18"/>
      <w:szCs w:val="18"/>
    </w:rPr>
  </w:style>
  <w:style w:type="paragraph" w:styleId="Style26">
    <w:name w:val="Footnote Text"/>
    <w:basedOn w:val="Normal"/>
    <w:link w:val="a9"/>
    <w:semiHidden/>
    <w:unhideWhenUsed/>
    <w:rsid w:val="00874a55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a6682"/>
    <w:pPr>
      <w:spacing w:before="0" w:after="0"/>
      <w:ind w:left="720" w:hanging="0"/>
      <w:contextualSpacing/>
    </w:pPr>
    <w:rPr/>
  </w:style>
  <w:style w:type="paragraph" w:styleId="21" w:customStyle="1">
    <w:name w:val="Основной текст (2)1"/>
    <w:basedOn w:val="Normal"/>
    <w:link w:val="2"/>
    <w:uiPriority w:val="99"/>
    <w:qFormat/>
    <w:rsid w:val="00df5b6b"/>
    <w:pPr>
      <w:widowControl w:val="false"/>
      <w:shd w:val="clear" w:color="auto" w:fill="FFFFFF"/>
      <w:spacing w:lineRule="exact" w:line="322"/>
    </w:pPr>
    <w:rPr>
      <w:rFonts w:ascii="Calibri" w:hAnsi="Calibri" w:eastAsia="Calibri" w:cs="" w:asciiTheme="minorHAnsi" w:cstheme="minorBidi" w:eastAsiaTheme="minorHAnsi" w:hAnsiTheme="minorHAnsi"/>
      <w:sz w:val="28"/>
      <w:szCs w:val="28"/>
      <w:lang w:eastAsia="en-US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link w:val="af"/>
    <w:uiPriority w:val="99"/>
    <w:unhideWhenUsed/>
    <w:rsid w:val="006332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af1"/>
    <w:uiPriority w:val="99"/>
    <w:unhideWhenUsed/>
    <w:rsid w:val="006332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qFormat/>
    <w:rsid w:val="00b37053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3336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8F762-6BB8-4ABA-AFA3-8350470A1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Application>LibreOffice/7.1.2.2$Windows_X86_64 LibreOffice_project/8a45595d069ef5570103caea1b71cc9d82b2aae4</Application>
  <AppVersion>15.0000</AppVersion>
  <Pages>3</Pages>
  <Words>1029</Words>
  <Characters>6096</Characters>
  <CharactersWithSpaces>7118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2025-04-15T11:17:00Z</dcterms:created>
  <dc:creator>Пользователь</dc:creator>
  <dc:description/>
  <dc:language>ru-RU</dc:language>
  <cp:lastModifiedBy/>
  <cp:lastPrinted>2021-02-11T05:26:00Z</cp:lastPrinted>
  <dcterms:modified xsi:type="dcterms:W3CDTF">2025-04-17T15:27:08Z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