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_rels/chart1.xml.rels" ContentType="application/vnd.openxmlformats-package.relationships+xml"/>
  <Override PartName="/word/charts/_rels/chart2.xml.rels" ContentType="application/vnd.openxmlformats-package.relationships+xml"/>
  <Override PartName="/word/charts/_rels/chart3.xml.rels" ContentType="application/vnd.openxmlformats-package.relationships+xml"/>
  <Override PartName="/word/charts/_rels/chart4.xml.rels" ContentType="application/vnd.openxmlformats-package.relationships+xml"/>
  <Override PartName="/word/charts/_rels/chart5.xml.rels" ContentType="application/vnd.openxmlformats-package.relationships+xml"/>
  <Override PartName="/word/charts/_rels/chart10.xml.rels" ContentType="application/vnd.openxmlformats-package.relationships+xml"/>
  <Override PartName="/word/charts/_rels/chart6.xml.rels" ContentType="application/vnd.openxmlformats-package.relationships+xml"/>
  <Override PartName="/word/charts/_rels/chart7.xml.rels" ContentType="application/vnd.openxmlformats-package.relationships+xml"/>
  <Override PartName="/word/charts/_rels/chart11.xml.rels" ContentType="application/vnd.openxmlformats-package.relationships+xml"/>
  <Override PartName="/word/charts/_rels/chart8.xml.rels" ContentType="application/vnd.openxmlformats-package.relationships+xml"/>
  <Override PartName="/word/charts/_rels/chart9.xml.rels" ContentType="application/vnd.openxmlformats-package.relationships+xml"/>
  <Override PartName="/word/fontTable.xml" ContentType="application/vnd.openxmlformats-officedocument.wordprocessingml.fontTable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embeddings/_____Microsoft_Excel1.xlsx" ContentType="application/vnd.openxmlformats-officedocument.spreadsheetml.sheet"/>
  <Override PartName="/word/embeddings/_____Microsoft_Excel9.xlsx" ContentType="application/vnd.openxmlformats-officedocument.spreadsheetml.sheet"/>
  <Override PartName="/word/embeddings/_____Microsoft_Excel6.xlsx" ContentType="application/vnd.openxmlformats-officedocument.spreadsheetml.sheet"/>
  <Override PartName="/word/embeddings/_____Microsoft_Excel10.xlsx" ContentType="application/vnd.openxmlformats-officedocument.spreadsheetml.sheet"/>
  <Override PartName="/word/embeddings/_____Microsoft_Excel5.xlsx" ContentType="application/vnd.openxmlformats-officedocument.spreadsheetml.sheet"/>
  <Override PartName="/word/embeddings/_____Microsoft_Excel4.xlsx" ContentType="application/vnd.openxmlformats-officedocument.spreadsheetml.sheet"/>
  <Override PartName="/word/embeddings/_____Microsoft_Excel8.xlsx" ContentType="application/vnd.openxmlformats-officedocument.spreadsheetml.sheet"/>
  <Override PartName="/word/embeddings/_____Microsoft_Excel3.xlsx" ContentType="application/vnd.openxmlformats-officedocument.spreadsheetml.sheet"/>
  <Override PartName="/word/embeddings/_____Microsoft_Excel2.xlsx" ContentType="application/vnd.openxmlformats-officedocument.spreadsheetml.sheet"/>
  <Override PartName="/word/embeddings/_____Microsoft_Excel7.xlsx" ContentType="application/vnd.openxmlformats-officedocument.spreadsheetml.sheet"/>
  <Override PartName="/word/embeddings/_____Microsoft_Excel11.xlsx" ContentType="application/vnd.openxmlformats-officedocument.spreadsheetml.sheet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709" w:right="-284" w:hanging="0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Анализ</w:t>
      </w:r>
    </w:p>
    <w:p>
      <w:pPr>
        <w:pStyle w:val="Normal"/>
        <w:ind w:left="-709" w:right="-284" w:hanging="0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состояния детского дорожно-транспортного травматизма</w:t>
      </w:r>
    </w:p>
    <w:p>
      <w:pPr>
        <w:pStyle w:val="Normal"/>
        <w:ind w:left="-709" w:right="-284" w:hanging="0"/>
        <w:jc w:val="center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на территории Свердловской области за 5 месяцев 2025 года</w:t>
      </w:r>
    </w:p>
    <w:p>
      <w:pPr>
        <w:pStyle w:val="Normal"/>
        <w:suppressAutoHyphens w:val="true"/>
        <w:jc w:val="both"/>
        <w:rPr>
          <w:rFonts w:ascii="PT Astra Serif" w:hAnsi="PT Astra Serif"/>
          <w:b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drawing>
          <wp:anchor behindDoc="0" distT="0" distB="0" distL="0" distR="0" simplePos="0" locked="0" layoutInCell="0" allowOverlap="1" relativeHeight="6">
            <wp:simplePos x="0" y="0"/>
            <wp:positionH relativeFrom="margin">
              <wp:posOffset>-641985</wp:posOffset>
            </wp:positionH>
            <wp:positionV relativeFrom="paragraph">
              <wp:posOffset>222885</wp:posOffset>
            </wp:positionV>
            <wp:extent cx="2686050" cy="2514600"/>
            <wp:effectExtent l="0" t="0" r="0" b="0"/>
            <wp:wrapSquare wrapText="bothSides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anchor>
        </w:drawing>
      </w:r>
    </w:p>
    <w:p>
      <w:pPr>
        <w:pStyle w:val="Normal"/>
        <w:suppressAutoHyphens w:val="true"/>
        <w:ind w:left="-709" w:right="-1" w:firstLine="709"/>
        <w:jc w:val="both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территории Свердловской области </w:t>
        <w:br/>
        <w:t>за 5 месяцев 2025 г. зарегистрировано 118</w:t>
        <w:br/>
        <w:t xml:space="preserve">(98; +20,4%) ДТП с участием несовершеннолетних, в которых 130 (110; +18,2%) детей получили травмы различной степени тяжести, </w:t>
      </w:r>
      <w:r>
        <w:rPr>
          <w:sz w:val="28"/>
          <w:szCs w:val="28"/>
        </w:rPr>
        <w:t xml:space="preserve">4 ребенка погибли (3; </w:t>
        <w:br/>
        <w:t>+33,3%).</w:t>
      </w:r>
    </w:p>
    <w:p>
      <w:pPr>
        <w:pStyle w:val="Normal"/>
        <w:suppressAutoHyphens w:val="true"/>
        <w:ind w:left="-709" w:right="-1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Дорожно-транспортные происшествия, в результате которых пострадали дети, составили 14% от общего количества учетных дорожных аварий. Таким образом, дети стали участниками каждого 7 ДТП с пострадавшими в регионе.</w:t>
      </w:r>
    </w:p>
    <w:p>
      <w:pPr>
        <w:pStyle w:val="Normal"/>
        <w:suppressAutoHyphens w:val="true"/>
        <w:ind w:left="-709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ДТП с погибшими детьми зарегистрированы на территории обслуживания ОМВД России по Пышминскому району - 1 ДТП (+100%), МО МВД России «Каменск-Уральский» - 1 ДТП (+100%), ОМВД России по городу Березовскому – 1 ДТП (+100%), МО МВД России «Байкаловский» - 1 ДТП (+100%):</w:t>
      </w:r>
    </w:p>
    <w:p>
      <w:pPr>
        <w:pStyle w:val="Normal"/>
        <w:suppressAutoHyphens w:val="true"/>
        <w:ind w:left="-709" w:right="-1" w:firstLine="709"/>
        <w:jc w:val="both"/>
        <w:rPr>
          <w:rFonts w:ascii="PT Astra Serif" w:hAnsi="PT Astra Serif"/>
          <w:i/>
          <w:i/>
          <w:iCs/>
          <w:sz w:val="28"/>
          <w:szCs w:val="28"/>
        </w:rPr>
      </w:pPr>
      <w:r>
        <w:rPr>
          <w:rFonts w:ascii="PT Astra Serif" w:hAnsi="PT Astra Serif"/>
          <w:b/>
          <w:bCs/>
          <w:i/>
          <w:iCs/>
          <w:sz w:val="28"/>
          <w:szCs w:val="28"/>
        </w:rPr>
        <w:t>30.03.2025</w:t>
      </w:r>
      <w:r>
        <w:rPr>
          <w:rFonts w:ascii="PT Astra Serif" w:hAnsi="PT Astra Serif"/>
          <w:i/>
          <w:iCs/>
          <w:sz w:val="28"/>
          <w:szCs w:val="28"/>
        </w:rPr>
        <w:t xml:space="preserve"> </w:t>
      </w:r>
      <w:r>
        <w:rPr>
          <w:rFonts w:ascii="PT Astra Serif" w:hAnsi="PT Astra Serif"/>
          <w:b/>
          <w:bCs/>
          <w:i/>
          <w:iCs/>
          <w:sz w:val="28"/>
          <w:szCs w:val="28"/>
        </w:rPr>
        <w:t>года</w:t>
      </w:r>
      <w:r>
        <w:rPr>
          <w:rFonts w:ascii="PT Astra Serif" w:hAnsi="PT Astra Serif"/>
          <w:i/>
          <w:iCs/>
          <w:sz w:val="28"/>
          <w:szCs w:val="28"/>
        </w:rPr>
        <w:t xml:space="preserve"> около 14.00 часов на 10 км автодороги р.п.Пышма-д.Талица (территория обслуживания ОМВД России «Пышминский») водитель, управляя автомашиной Лада217030, при движении со стороны пгт. Пышма в направлении д. Талица Пышминского района допустил наезд на 14-летнего велосипедиста, который двигался в составе организованной колонны во время тренировок под руководством тренера и в сопровождении специального автомобиля, выполнял маневр разворота за спецмашиной перед близко движущимся другим автомобилем справа налево по ходу движения транспортного средства. В результате дорожно-транспортного происшествия несовершеннолетний велосипедист получил телесные повреждения, был госпитализирован в ДГКБ № 9 г. Екатеринбурга, где на 16 сутки скончался.</w:t>
      </w:r>
    </w:p>
    <w:p>
      <w:pPr>
        <w:pStyle w:val="Normal"/>
        <w:suppressAutoHyphens w:val="true"/>
        <w:ind w:left="-709" w:right="-1" w:firstLine="709"/>
        <w:jc w:val="both"/>
        <w:rPr>
          <w:rFonts w:ascii="PT Astra Serif" w:hAnsi="PT Astra Serif"/>
          <w:i/>
          <w:i/>
          <w:iCs/>
          <w:sz w:val="28"/>
          <w:szCs w:val="28"/>
        </w:rPr>
      </w:pPr>
      <w:r>
        <w:rPr>
          <w:rFonts w:ascii="PT Astra Serif" w:hAnsi="PT Astra Serif"/>
          <w:b/>
          <w:bCs/>
          <w:i/>
          <w:iCs/>
          <w:sz w:val="28"/>
          <w:szCs w:val="28"/>
        </w:rPr>
        <w:t>01.05.2025 года</w:t>
      </w:r>
      <w:r>
        <w:rPr>
          <w:rFonts w:ascii="PT Astra Serif" w:hAnsi="PT Astra Serif"/>
          <w:i/>
          <w:iCs/>
          <w:sz w:val="28"/>
          <w:szCs w:val="28"/>
        </w:rPr>
        <w:t xml:space="preserve"> около 21.30 часов на 111 км автодороги Екатеринбург - Шадринск - Курган (старое направление, территория обслуживания МО МВД России «Каменск-Уральский»), водитель автомобиля «Киа Спортейдж», двигаясь со стороны села Колчедан, в нарушение ПДД РФ выехал на полосу встречного движения, в зоне дорожного знака 3.20 «Обгон запрещен», где допустил столкновение с двумя автомашинами «ВАЗ 2105» и «Киа К5». В результате ДТП водитель «Киа К5», 43-летняя женщина и ее 9-летняя дочь-пассажир, а также водитель «Киа Спортейдж», которые не были пристегнуты ремнями безопасности, от полученных травм скончались на месте.  Еще два пассажира: «Киа К5» - 28-летний мужчина и 11-летняя девочка, также не использовали ремни безопасности, а 10-летняя пассажирка «ВАЗ 2105», помимо этого, перевозилась на переднем пассажирском сидении без детского автокресла, вследствие чего все участники получили травмы различной степени тяжести, были доставлены в больницы.</w:t>
      </w:r>
    </w:p>
    <w:p>
      <w:pPr>
        <w:pStyle w:val="Normal"/>
        <w:ind w:left="-709" w:firstLine="709"/>
        <w:jc w:val="both"/>
        <w:rPr>
          <w:rFonts w:ascii="PT Astra Serif" w:hAnsi="PT Astra Serif" w:eastAsia="Calibri" w:eastAsiaTheme="minorHAnsi"/>
          <w:i/>
          <w:i/>
          <w:iCs/>
          <w:color w:val="000000"/>
          <w:sz w:val="28"/>
          <w:szCs w:val="28"/>
          <w:lang w:eastAsia="en-US"/>
        </w:rPr>
      </w:pPr>
      <w:r>
        <w:rPr>
          <w:rFonts w:eastAsia="Calibri" w:ascii="PT Astra Serif" w:hAnsi="PT Astra Serif" w:eastAsiaTheme="minorHAnsi"/>
          <w:b/>
          <w:bCs/>
          <w:i/>
          <w:iCs/>
          <w:color w:val="000000"/>
          <w:sz w:val="28"/>
          <w:szCs w:val="28"/>
          <w:lang w:eastAsia="en-US"/>
        </w:rPr>
        <w:t xml:space="preserve">23.05.2025 </w:t>
      </w:r>
      <w:r>
        <w:rPr>
          <w:rFonts w:eastAsia="Calibri" w:cs="Times New Roman CYR" w:ascii="PT Astra Serif" w:hAnsi="PT Astra Serif" w:eastAsiaTheme="minorHAnsi"/>
          <w:b/>
          <w:bCs/>
          <w:i/>
          <w:iCs/>
          <w:color w:val="000000"/>
          <w:sz w:val="28"/>
          <w:szCs w:val="28"/>
          <w:lang w:eastAsia="en-US"/>
        </w:rPr>
        <w:t>года</w:t>
      </w:r>
      <w:r>
        <w:rPr>
          <w:rFonts w:eastAsia="Calibri" w:cs="Times New Roman CYR" w:ascii="PT Astra Serif" w:hAnsi="PT Astra Serif" w:eastAsiaTheme="minorHAnsi"/>
          <w:i/>
          <w:iCs/>
          <w:color w:val="000000"/>
          <w:sz w:val="28"/>
          <w:szCs w:val="28"/>
          <w:lang w:eastAsia="en-US"/>
        </w:rPr>
        <w:t xml:space="preserve"> в 14.05 часов в г. Березовский, ул. Гагарина, д. 4, водитель грузовой автомашины </w:t>
      </w:r>
      <w:r>
        <w:rPr>
          <w:rFonts w:eastAsia="Calibri" w:ascii="PT Astra Serif" w:hAnsi="PT Astra Serif" w:eastAsiaTheme="minorHAnsi"/>
          <w:i/>
          <w:iCs/>
          <w:color w:val="000000"/>
          <w:sz w:val="28"/>
          <w:szCs w:val="28"/>
          <w:lang w:eastAsia="en-US"/>
        </w:rPr>
        <w:t>«</w:t>
      </w:r>
      <w:r>
        <w:rPr>
          <w:rFonts w:eastAsia="Calibri" w:cs="Times New Roman CYR" w:ascii="PT Astra Serif" w:hAnsi="PT Astra Serif" w:eastAsiaTheme="minorHAnsi"/>
          <w:i/>
          <w:iCs/>
          <w:color w:val="000000"/>
          <w:sz w:val="28"/>
          <w:szCs w:val="28"/>
          <w:lang w:eastAsia="en-US"/>
        </w:rPr>
        <w:t>Мазда Титан</w:t>
      </w:r>
      <w:r>
        <w:rPr>
          <w:rFonts w:eastAsia="Calibri" w:ascii="PT Astra Serif" w:hAnsi="PT Astra Serif" w:eastAsiaTheme="minorHAnsi"/>
          <w:i/>
          <w:iCs/>
          <w:color w:val="000000"/>
          <w:sz w:val="28"/>
          <w:szCs w:val="28"/>
          <w:lang w:eastAsia="en-US"/>
        </w:rPr>
        <w:t xml:space="preserve">», </w:t>
      </w:r>
      <w:r>
        <w:rPr>
          <w:rFonts w:eastAsia="Calibri" w:cs="Times New Roman CYR" w:ascii="PT Astra Serif" w:hAnsi="PT Astra Serif" w:eastAsiaTheme="minorHAnsi"/>
          <w:i/>
          <w:iCs/>
          <w:color w:val="000000"/>
          <w:sz w:val="28"/>
          <w:szCs w:val="28"/>
          <w:lang w:eastAsia="en-US"/>
        </w:rPr>
        <w:t>двигаясь со стороны ул. Мира, при проезде нерегулируемого пешеходного перехода не предоставил преимущество в движении двум пешеходам, 39-летней женщине и ее 4-летней дочери, двигающимся справа налево по ходу движения транспортного средства и допустил на них наезд. В результате ДТП девочка-пешеход от полученных травм скончалась в карете скорой медицинской помощи на месте автоаварии, второй пешеход получил травмы различной степени тяжести. Известно, что в момент ДТП женщина разговаривала по мобильному телефону и не убедилась в безопасности перехода. Водителю грузовика закрыл обзор легковой автомобиль, который выезжал с дворового проезда.</w:t>
      </w:r>
    </w:p>
    <w:p>
      <w:pPr>
        <w:pStyle w:val="Normal"/>
        <w:suppressAutoHyphens w:val="true"/>
        <w:ind w:left="-709" w:right="-1" w:firstLine="709"/>
        <w:jc w:val="both"/>
        <w:rPr>
          <w:rFonts w:ascii="PT Astra Serif" w:hAnsi="PT Astra Serif"/>
          <w:i/>
          <w:i/>
          <w:iCs/>
          <w:sz w:val="28"/>
          <w:szCs w:val="28"/>
        </w:rPr>
      </w:pPr>
      <w:r>
        <w:rPr>
          <w:rFonts w:ascii="PT Astra Serif" w:hAnsi="PT Astra Serif"/>
          <w:b/>
          <w:bCs/>
          <w:i/>
          <w:iCs/>
          <w:sz w:val="28"/>
          <w:szCs w:val="28"/>
        </w:rPr>
        <w:t>26.05.2025 года</w:t>
      </w:r>
      <w:r>
        <w:rPr>
          <w:rFonts w:ascii="PT Astra Serif" w:hAnsi="PT Astra Serif"/>
          <w:i/>
          <w:iCs/>
          <w:sz w:val="28"/>
          <w:szCs w:val="28"/>
        </w:rPr>
        <w:t xml:space="preserve"> в 15.20 часов на 6 км автодороги «Подъезд к </w:t>
        <w:br/>
        <w:t xml:space="preserve">д. Ермакова от автодороги с. Краснослободское - с. Липчинское - границе Тюменской области» Слободо-Туринского района водитель автомашины «Форд Фокус», двигаясь со стороны с. Туринская-Слобода в сторону д. Ермакова, допустил наезд на </w:t>
        <w:br/>
        <w:t>10-летнего велосипедиста, двигающегося в нарушение ПДД по правому краю проезжей части дороги и внезапно начавшего осуществлять поворот налево. В результате ДТП несовершеннолетний от полученных травм скончался на месте ДТП. Известно, что в момент ДТП защитная экипировка на ребенке отсутствовала, мальчик находился на прогулке вместе с другом.</w:t>
      </w:r>
    </w:p>
    <w:p>
      <w:pPr>
        <w:pStyle w:val="Normal"/>
        <w:ind w:left="-709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20 муниципальных образованиях Свердловской области отмечается рост аварийности с участием несовершеннолетних. На 1000% увеличилось количество ДТП в Каменск-Уральском (11 ДТП), на 400% в Полевском (4 ДТП), на 200% в Сысертском районе и Талице (по 3 ДТП), Алапаевске, Байкалово, Нижних Сергах, Качканаре (по 2 ДТП), на 100% в Заречном (6 ДТП), Североуральске (2 ДТП), Артемовском, Камышлове, Красноуральске, Пышме, Тугулыме, Шалинском районе и Туринске (по 1 ДТП), на 75% в Нижнем Тагиле (14 ДТП), на 50% в Березовском (3 ДТП) и на 33,3% в Богдановиче (4 ДТП).</w:t>
      </w:r>
    </w:p>
    <w:p>
      <w:pPr>
        <w:pStyle w:val="Normal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284"/>
        <w:jc w:val="center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5486400" cy="320040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ind w:left="-709" w:firstLine="284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23% (30) пострадавших в ДТП детей приходится на дошкольный возраст, 32% (41) на начальную школу и 45% (59) на среднее школьное звено, при этом большая часть пострадали в качестве пешеходов. </w:t>
      </w:r>
    </w:p>
    <w:p>
      <w:pPr>
        <w:pStyle w:val="Normal"/>
        <w:ind w:left="-709" w:firstLine="720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hanging="0"/>
        <w:jc w:val="both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3028950" cy="188595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/>
        <w:drawing>
          <wp:inline distT="0" distB="0" distL="0" distR="0">
            <wp:extent cx="3019425" cy="1857375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ind w:left="-709" w:hanging="0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причине нарушения ПДД РФ водителями транспортных средств количество ДТП увеличилось на 17,5% (94), количество раненых в них детей на 17,4% (108), число погибших детей уменьшилось на 33,3% (2).</w:t>
      </w:r>
    </w:p>
    <w:p>
      <w:pPr>
        <w:pStyle w:val="Normal"/>
        <w:ind w:left="-709" w:firstLine="720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142"/>
        <w:jc w:val="center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6120765" cy="1666875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pStyle w:val="Normal"/>
        <w:ind w:left="-709" w:firstLine="142"/>
        <w:jc w:val="center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69% ДТП (81) произошли при ясной погоде и 31% (37) при неблагоприятных метеорологических условиях (пасмурно, снегопад, метель). Неблагоприятные погодные условия косвенно могли повлиять на возникновение ДТП с участием детей, так как ухудшается видимость, возрастает тормозной и остановочный путь у транспортных средств. </w:t>
      </w:r>
    </w:p>
    <w:p>
      <w:pPr>
        <w:pStyle w:val="Normal"/>
        <w:ind w:left="-709" w:firstLine="720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567"/>
        <w:jc w:val="both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6120765" cy="2285365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Normal"/>
        <w:ind w:left="-709" w:firstLine="567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Все происшествия с участием несовершеннолетних произошли в период с 00 ч. 00 мин. до 23 ч. 00 мин. (118 ДТП, 4 погибли, 130 ранены), при этом пик происшествий пришелся на период с 12 ч. 00 мин. до 15 ч. 00 мин. (23 ДТП, 2 погибли, 23 ранены), с 15 ч. 00 мин. до 18 ч. 00 мин. (38 ДТП, 1 погиб, 40 ранены) и с 18 ч. 00 мин. до 21 ч. 00 мин. (27 ДТП, 32 ранены). </w:t>
      </w:r>
    </w:p>
    <w:p>
      <w:pPr>
        <w:pStyle w:val="Normal"/>
        <w:ind w:left="-709" w:hanging="0"/>
        <w:jc w:val="center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6096000" cy="222250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rFonts w:ascii="PT Astra Serif" w:hAnsi="PT Astra Serif"/>
          <w:color w:val="FF0000"/>
          <w:sz w:val="28"/>
          <w:szCs w:val="28"/>
        </w:rPr>
        <w:br/>
      </w:r>
    </w:p>
    <w:p>
      <w:pPr>
        <w:pStyle w:val="Normal"/>
        <w:ind w:left="-709" w:firstLine="426"/>
        <w:jc w:val="both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5839460" cy="2524125"/>
            <wp:effectExtent l="0" t="0" r="0" b="0"/>
            <wp:docPr id="8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>
      <w:pPr>
        <w:pStyle w:val="Normal"/>
        <w:ind w:left="-709" w:firstLine="720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На автомобильных дорогах, расположенных в черте населенных пунктов, зарегистрировано 98 ДТП (+18,1%), в которых пострадали 109 (+26,7%) детей, 1 ребенок погиб (-66,7%). Рост количества ДТП в населенных пунктах зафиксирован в Нижнем Тагиле – 9 ДТП, в Каменск-Уральском – 8 ДТП, в Первоуральске, Богдановичском, Белоярском, Пригородном и Сысертском районах – по 3 ДТП, Алапаевске – 1 ДТП, Артемовском районе – 1 ДТП, в Березовском, Заречном, Североуральске, Каменском и Талицком районах – по 2 ДТП, в Качканаре, Нижней Туре, Красноуральске Шалинском районе – по 1 ДТП. На автомобильных дорогах вне населенных пунктов зарегистрировано 20 ДТП (+33,3%), в результате которых травмирован 21 (-12,5%) ребенок, 3 ребенка погибли (+100%). Из них, на дорогах федерального значения зарегистрировано 7 ДТП (+40%), в которых пострадали 8 детей (+60%). На автомобильных дорогах регионального значения произошло 23 ДТП </w:t>
        <w:br/>
        <w:t>(-14,8%), в которых погибли 2 ребенка (уровень АППГ), 24 (-33,3%) несовершеннолетних получили травмы различной степени тяжести. На дорогах местного значения зарегистрировано 67 ДТП (+26,4%), в которых погибли 2 ребенка (+100%), травмированы 76 (+35,7%) детей. На дорогах частного значения зарегистрировано 21 ДТП (-63,7%), в которых ранены 22 ребенка (-65,5%).</w:t>
      </w:r>
    </w:p>
    <w:p>
      <w:pPr>
        <w:pStyle w:val="Normal"/>
        <w:ind w:left="-709" w:firstLine="720"/>
        <w:jc w:val="both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284"/>
        <w:jc w:val="both"/>
        <w:rPr>
          <w:rFonts w:ascii="PT Astra Serif" w:hAnsi="PT Astra Serif"/>
          <w:b/>
          <w:b/>
          <w:color w:val="FF0000"/>
          <w:sz w:val="28"/>
          <w:szCs w:val="28"/>
          <w:lang w:val="en-US"/>
        </w:rPr>
      </w:pPr>
      <w:r>
        <w:rPr/>
        <w:drawing>
          <wp:inline distT="0" distB="0" distL="0" distR="0">
            <wp:extent cx="6120765" cy="2343150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rFonts w:ascii="PT Astra Serif" w:hAnsi="PT Astra Serif"/>
          <w:color w:val="FF0000"/>
          <w:sz w:val="28"/>
          <w:szCs w:val="28"/>
        </w:rPr>
        <w:br/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 категориям участников дорожного движения показатели распределились следующим образом</w:t>
      </w:r>
      <w:r>
        <w:rPr>
          <w:rFonts w:ascii="PT Astra Serif" w:hAnsi="PT Astra Serif"/>
          <w:sz w:val="28"/>
          <w:szCs w:val="28"/>
        </w:rPr>
        <w:t xml:space="preserve">: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-428625</wp:posOffset>
            </wp:positionH>
            <wp:positionV relativeFrom="paragraph">
              <wp:posOffset>210820</wp:posOffset>
            </wp:positionV>
            <wp:extent cx="1372870" cy="1216025"/>
            <wp:effectExtent l="0" t="0" r="0" b="0"/>
            <wp:wrapTight wrapText="bothSides">
              <wp:wrapPolygon edited="0">
                <wp:start x="-12" y="0"/>
                <wp:lineTo x="-12" y="21310"/>
                <wp:lineTo x="21271" y="21310"/>
                <wp:lineTo x="21271" y="0"/>
                <wp:lineTo x="-12" y="0"/>
              </wp:wrapPolygon>
            </wp:wrapTight>
            <wp:docPr id="10" name="Рисунок 8" descr="C:\Users\gkravchenko4\AppData\Local\Microsoft\Windows\INetCache\Content.Word\i (3) (2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8" descr="C:\Users\gkravchenko4\AppData\Local\Microsoft\Windows\INetCache\Content.Word\i (3) (24)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0" t="0" r="8615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216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-709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 участием </w:t>
      </w:r>
      <w:r>
        <w:rPr>
          <w:rFonts w:ascii="PT Astra Serif" w:hAnsi="PT Astra Serif"/>
          <w:b/>
          <w:i/>
          <w:sz w:val="28"/>
          <w:szCs w:val="28"/>
        </w:rPr>
        <w:t>детей - пассажиров</w:t>
      </w:r>
      <w:r>
        <w:rPr>
          <w:rFonts w:ascii="PT Astra Serif" w:hAnsi="PT Astra Serif"/>
          <w:sz w:val="28"/>
          <w:szCs w:val="28"/>
        </w:rPr>
        <w:t xml:space="preserve"> зарегистрировано 42 (54; -22,2%) ДТП, в которых пострадал 51 (65; </w:t>
        <w:br/>
        <w:t xml:space="preserve">-21,5%) ребенок, 1 ребенок погиб (+100%). Из них в возрасте до 12 лет травмированы 39 детей (38; +2,6%).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Доля ДТП с участием детей - пассажиров от общего показателя аварийности с участием детей составила 36%.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24 случаях ДТП (уровень АППГ) с пострадавшими детьми-пассажирами произошли по причине нарушения ПДД РФ водителем, в чьем транспортном средстве находились дети, в этих авариях пострадали 28 детей.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left="-709" w:firstLine="426"/>
        <w:jc w:val="center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5999480" cy="1714500"/>
            <wp:effectExtent l="0" t="0" r="0" b="0"/>
            <wp:docPr id="1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>
      <w:pPr>
        <w:pStyle w:val="Normal"/>
        <w:ind w:left="-709" w:firstLine="426"/>
        <w:jc w:val="center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8 ДТП (6; +33,3%) водители перевозили юных пассажиров в возрасте до 12 лет с нарушением правил перевозки детей, в этих авариях травмированы </w:t>
        <w:br/>
        <w:t>9 детей (9; уровень АППГ).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Подавляющее большинство происшествий, в которых пострадали дети-пассажиры - это столкновения транспортных средств (34; -17,1%), количество травмированных в них детей уменьшилось на 19,2% (42).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Устойчивое количество ДТП с участием детей-пассажиров зарегистрировано с 14.00 до 15.00 часов (4 ДТП, 4 ранены) и с 16.00 до 17.00 часов (4 ДТП, 4 ранены), рост на 100% наблюдается с 12.00 до 13.00 часов (2 ДТП, 3 ранены) и с 22.00 до 23.00 часов (2 ДТП, 2 ранены). Большинство аварий произошло в субботу (10 ДТП, 13 ранены) четверг (8 ДТП, 1 погиб, 11 ранены и среду (7 ДТП, 8 ранены). </w:t>
      </w:r>
    </w:p>
    <w:p>
      <w:pPr>
        <w:pStyle w:val="Normal"/>
        <w:ind w:left="-709" w:firstLine="567"/>
        <w:jc w:val="both"/>
        <w:rPr>
          <w:rFonts w:ascii="PT Astra Serif" w:hAnsi="PT Astra Serif"/>
          <w:sz w:val="28"/>
          <w:szCs w:val="28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3">
                <wp:simplePos x="0" y="0"/>
                <wp:positionH relativeFrom="column">
                  <wp:posOffset>-387985</wp:posOffset>
                </wp:positionH>
                <wp:positionV relativeFrom="paragraph">
                  <wp:posOffset>69850</wp:posOffset>
                </wp:positionV>
                <wp:extent cx="1996440" cy="1122045"/>
                <wp:effectExtent l="0" t="0" r="0" b="0"/>
                <wp:wrapSquare wrapText="bothSides"/>
                <wp:docPr id="1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13"/>
                        <a:srcRect l="764" t="16496" r="2299" b="10827"/>
                        <a:stretch/>
                      </pic:blipFill>
                      <pic:spPr>
                        <a:xfrm>
                          <a:off x="0" y="0"/>
                          <a:ext cx="1995840" cy="112140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-30.55pt;margin-top:5.5pt;width:157.1pt;height:88.25pt;mso-wrap-style:none;v-text-anchor:middle" type="shapetype_75">
                <v:imagedata r:id="rId13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</w:rPr>
        <w:t>С участием</w:t>
      </w:r>
      <w:r>
        <w:rPr>
          <w:rFonts w:ascii="PT Astra Serif" w:hAnsi="PT Astra Serif"/>
          <w:b/>
          <w:i/>
          <w:sz w:val="28"/>
          <w:szCs w:val="28"/>
        </w:rPr>
        <w:t xml:space="preserve"> детей-пешеходов </w:t>
      </w:r>
      <w:r>
        <w:rPr>
          <w:rFonts w:ascii="PT Astra Serif" w:hAnsi="PT Astra Serif"/>
          <w:sz w:val="28"/>
          <w:szCs w:val="28"/>
        </w:rPr>
        <w:t xml:space="preserve">зарегистрировано </w:t>
        <w:br/>
        <w:t xml:space="preserve">56 ДТП (33; +69,7%), в которых пострадали 56 (33; +69,7%) несовершеннолетних, 1 ребенок погиб (уровень АППГ). </w:t>
      </w:r>
    </w:p>
    <w:p>
      <w:pPr>
        <w:pStyle w:val="Normal"/>
        <w:ind w:left="-709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общего показателя аварийности с участием несовершеннолетних доля ДТП с участием детей- пешеходов составила 47%.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22 ДТП (14; +57,1%) произошло по причине собственной неосторожности несовершеннолетних пешеходов, в этих авариях пострадали 22 ребенка (14; +57,1%). Основными нарушениями ПДД РФ, допущенными юными пешеходами, стали: переход проезжей части вне пешеходного перехода – 9 ДТП, переход проезжей части вне пешеходного перехода в зоне его видимости – 6 ДТП, переход проезжей части в неустановленном месте в зоне видимости перекрестка – 3 ДТП, неподчинение сигналам регулирования -  4 ДТП.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  <w:highlight w:val="yellow"/>
        </w:rPr>
      </w:pPr>
      <w:r>
        <w:rPr>
          <w:rFonts w:ascii="PT Astra Serif" w:hAnsi="PT Astra Serif"/>
          <w:sz w:val="28"/>
          <w:szCs w:val="28"/>
        </w:rPr>
        <w:t>41% наездов на детей (23) совершены на пешеходных переходах. В таких происшествиях 1 ребенок погиб (+100%), еще 22 травмированы (+144,4%). На 200% увеличилось количество ДТП (6) и травмированных в них детей (6), на нерегулируемых пешеходных переходах, расположенных на участках дорог или улиц, проходящих вдоль территорий школ или иных детских учреждений.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 ДТП (+400%) произошло в темное время суток, когда на верхней одежде детей отсутствовали световозвращающие элементы.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возрастным характеристикам, наибольшее количество ДТП произошло с участием детей в возрасте 11-12 лет (10 ДТП, +400%), 14-15 лет (6 ДТП, +500%) и 8-9 лет (6 ДТП, +20%).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55 ДТП произошло в городах и населенных пунктах (+66,7%), 1 ДТП вне населенного пункта (уровень АППГ).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 дням недели значительный рост ДТП наблюдается в субботу (9 ДТП, </w:t>
        <w:br/>
        <w:t xml:space="preserve">9 ранены, + 800%) вторник (9 ДТП, 9 ранены, +80%) и пятницу (9 ДТП, 1 погиб, </w:t>
        <w:br/>
        <w:t xml:space="preserve">8 ранены, +80%). По времени наибольшее количество дорожных аварий зафиксировано в обеденное и вечернее время, в период с 13 до 14 часов (7 ДТП, </w:t>
        <w:br/>
        <w:t xml:space="preserve">7 ранены, +133,3%), с 17 до 18 часов (10 ДТП, 11 ранены, +900%) и с 18 до 19 часов </w:t>
        <w:br/>
        <w:t>(8 ДТП, 8 ранены, +166,7%).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17 случаях (30%) ДТП произошли по маршрутам следования детей из дома в образовательную организацию и обратно: МБДОУ Детский сад № 34, № 36, № 488 </w:t>
        <w:br/>
        <w:t xml:space="preserve">г. Екатеринбург, МАОУ СОШ № 11 г. Североуральск, МБОУ СОШ № 25 г. Н.Тагил, МАОУ СОШ № 3 г. В.Пышма, ГБУЗ СО «Каменск-Уральская школа» г. К-Уральский, ДОУ № 102 г. К-Уральский, МАОУ СОШ № 4 г. Арамиль, СОШ с. Косой Брод </w:t>
        <w:br/>
        <w:t>г. Полевской, МАОУ СОШ № 2 г. Невьянск, МАОУ СОШ № 1 г. Екатеринбург, Верхнедубровская СОШ Белоярский район, МАОУ СОШ № 5 г. Н.Тагил, МАДОУ № 8 г. Алапаевск.</w:t>
      </w:r>
    </w:p>
    <w:p>
      <w:pPr>
        <w:pStyle w:val="Normal"/>
        <w:ind w:left="-709" w:firstLine="720"/>
        <w:jc w:val="both"/>
        <w:rPr>
          <w:sz w:val="28"/>
          <w:szCs w:val="28"/>
        </w:rPr>
      </w:pPr>
      <w:r>
        <w:drawing>
          <wp:anchor behindDoc="0" distT="0" distB="0" distL="114300" distR="114300" simplePos="0" locked="0" layoutInCell="0" allowOverlap="1" relativeHeight="5">
            <wp:simplePos x="0" y="0"/>
            <wp:positionH relativeFrom="column">
              <wp:posOffset>-484505</wp:posOffset>
            </wp:positionH>
            <wp:positionV relativeFrom="paragraph">
              <wp:posOffset>101600</wp:posOffset>
            </wp:positionV>
            <wp:extent cx="1526540" cy="1144905"/>
            <wp:effectExtent l="0" t="0" r="0" b="0"/>
            <wp:wrapTight wrapText="bothSides">
              <wp:wrapPolygon edited="0">
                <wp:start x="-7" y="0"/>
                <wp:lineTo x="-7" y="21195"/>
                <wp:lineTo x="21292" y="21195"/>
                <wp:lineTo x="21292" y="0"/>
                <wp:lineTo x="-7" y="0"/>
              </wp:wrapPolygon>
            </wp:wrapTight>
            <wp:docPr id="13" name="Рисунок 10" descr="C:\Users\gkravchenko4\AppData\Local\Microsoft\Windows\INetCache\Content.Word\ЛУЧИСТАЯ 1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0" descr="C:\Users\gkravchenko4\AppData\Local\Microsoft\Windows\INetCache\Content.Word\ЛУЧИСТАЯ 16 (2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T Astra Serif" w:hAnsi="PT Astra Serif"/>
          <w:sz w:val="28"/>
          <w:szCs w:val="28"/>
        </w:rPr>
        <w:t xml:space="preserve">С участием </w:t>
      </w:r>
      <w:r>
        <w:rPr>
          <w:rFonts w:ascii="PT Astra Serif" w:hAnsi="PT Astra Serif"/>
          <w:b/>
          <w:i/>
          <w:sz w:val="28"/>
          <w:szCs w:val="28"/>
        </w:rPr>
        <w:t>юных водителей мототранспорта</w:t>
      </w:r>
      <w:r>
        <w:rPr>
          <w:rFonts w:ascii="PT Astra Serif" w:hAnsi="PT Astra Serif"/>
          <w:sz w:val="28"/>
          <w:szCs w:val="28"/>
        </w:rPr>
        <w:t xml:space="preserve"> зарегистрировано 4 ДТП (+100%), в результате которых 8 (+300%) детей травмированы. </w:t>
      </w:r>
      <w:r>
        <w:rPr>
          <w:sz w:val="28"/>
          <w:szCs w:val="28"/>
        </w:rPr>
        <w:t>Во всех случаях права управления мототранспортом дети не имели, передвигались на мототехнике в городах и населенных пунктах сельского типа. Участниками ДТП стали дети-водители в возрасте 12-15 лет, при этом наибольшее количество дорожных аварий отмечается с подростками в возрасте 14-15 лет (66 ДТП, 6 травмированы).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2">
                <wp:simplePos x="0" y="0"/>
                <wp:positionH relativeFrom="column">
                  <wp:posOffset>-437515</wp:posOffset>
                </wp:positionH>
                <wp:positionV relativeFrom="paragraph">
                  <wp:posOffset>120015</wp:posOffset>
                </wp:positionV>
                <wp:extent cx="1376045" cy="1137920"/>
                <wp:effectExtent l="0" t="0" r="0" b="0"/>
                <wp:wrapSquare wrapText="bothSides"/>
                <wp:docPr id="1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15"/>
                        <a:srcRect l="26221" t="11457" r="19784" b="29370"/>
                        <a:stretch/>
                      </pic:blipFill>
                      <pic:spPr>
                        <a:xfrm>
                          <a:off x="0" y="0"/>
                          <a:ext cx="1375560" cy="113724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-34.45pt;margin-top:9.45pt;width:108.25pt;height:89.5pt;mso-wrap-style:none;v-text-anchor:middle" type="shapetype_75">
                <v:imagedata r:id="rId15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</w:rPr>
        <w:t xml:space="preserve">С участием </w:t>
      </w:r>
      <w:r>
        <w:rPr>
          <w:rFonts w:ascii="PT Astra Serif" w:hAnsi="PT Astra Serif"/>
          <w:b/>
          <w:i/>
          <w:sz w:val="28"/>
          <w:szCs w:val="28"/>
        </w:rPr>
        <w:t>юных велосипедистов</w:t>
      </w:r>
      <w:r>
        <w:rPr>
          <w:rFonts w:ascii="PT Astra Serif" w:hAnsi="PT Astra Serif"/>
          <w:sz w:val="28"/>
          <w:szCs w:val="28"/>
        </w:rPr>
        <w:t xml:space="preserve"> зарегистрировано 12 ДТП (8; +50%), в результате которых 2 ребенка погибли (0; +200%), 10 детей травмированы (8; +25%). В 11 случаях ДТП травмированные дети не использовали средства пассивной защиты (шлем, налокотники, наколенники). 5 происшествий произошли по собственной неосторожности несовершеннолетних. Участниками ДТП стали дети-велосипедисты в возрасте 5-15 лет, при этом наибольшее количество дорожных аварий отмечается с детьми возрастом 9-10 лет (4 ДТП; +300%).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ind w:left="-709" w:firstLine="720"/>
        <w:jc w:val="center"/>
        <w:rPr>
          <w:rFonts w:ascii="PT Astra Serif" w:hAnsi="PT Astra Serif"/>
          <w:color w:val="FF0000"/>
          <w:sz w:val="28"/>
          <w:szCs w:val="28"/>
        </w:rPr>
      </w:pPr>
      <w:r>
        <w:rPr/>
        <w:drawing>
          <wp:inline distT="0" distB="0" distL="0" distR="0">
            <wp:extent cx="4977130" cy="2004060"/>
            <wp:effectExtent l="0" t="0" r="0" b="0"/>
            <wp:docPr id="1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>
      <w:pPr>
        <w:pStyle w:val="Normal"/>
        <w:ind w:left="-709" w:firstLine="720"/>
        <w:rPr>
          <w:rFonts w:ascii="PT Astra Serif" w:hAnsi="PT Astra Serif"/>
          <w:color w:val="FF0000"/>
          <w:sz w:val="28"/>
          <w:szCs w:val="28"/>
        </w:rPr>
      </w:pPr>
      <w:r>
        <w:rPr>
          <w:rFonts w:ascii="PT Astra Serif" w:hAnsi="PT Astra Serif"/>
          <w:color w:val="FF0000"/>
          <w:sz w:val="28"/>
          <w:szCs w:val="28"/>
        </w:rPr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Причинами подавляющего большинства происшествий стали грубые нарушения ПДД РФ водителями транспортных средств (превышение скоростного режима, выезд на полосу встречного движения, несоблюдение правил проезда пешеходных переходов). </w:t>
      </w:r>
    </w:p>
    <w:p>
      <w:pPr>
        <w:pStyle w:val="Normal"/>
        <w:ind w:left="-709" w:firstLine="72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Вина несовершеннолетних усматривается в 16 ДТП из 118 и составляет 14% от общего количества дорожных аварий с участием детей: 13 ДТП в Екатеринбурге </w:t>
        <w:br/>
        <w:t xml:space="preserve">(+30%), 5 ДТП в Нижнем Тагиле (+150%), 3 ДТП в Каменск-Уральском (+200%), по 2 ДТП в Богдановиче (+100%), Первоуральске (+100%), Сысерти (+200%) и Заречном (+100%), по 1 ДТП в Алапаевске (+100%), Байкалово (+100%), Березовском (уровень АППГ), Верхней Пышме (-50%), Красноуральске (+100%), Пышме (+100%), Талице (+100%), Шале (+100%), Качканаре (+100%). </w:t>
      </w:r>
    </w:p>
    <w:p>
      <w:pPr>
        <w:pStyle w:val="Normal"/>
        <w:ind w:left="-709" w:hanging="0"/>
        <w:rPr>
          <w:rFonts w:ascii="PT Astra Serif" w:hAnsi="PT Astra Serif"/>
          <w:color w:val="FF0000"/>
          <w:sz w:val="28"/>
          <w:szCs w:val="28"/>
          <w:lang w:val="en-US"/>
        </w:rPr>
      </w:pPr>
      <w:r>
        <w:rPr>
          <w:rFonts w:ascii="PT Astra Serif" w:hAnsi="PT Astra Serif"/>
          <w:color w:val="FF0000"/>
          <w:sz w:val="28"/>
          <w:szCs w:val="28"/>
          <w:lang w:val="en-US"/>
        </w:rPr>
      </w:r>
      <w:bookmarkStart w:id="0" w:name="_GoBack"/>
      <w:bookmarkStart w:id="1" w:name="_GoBack"/>
      <w:bookmarkEnd w:id="1"/>
    </w:p>
    <w:p>
      <w:pPr>
        <w:pStyle w:val="Normal"/>
        <w:ind w:left="-709" w:hanging="0"/>
        <w:jc w:val="both"/>
        <w:rPr>
          <w:rFonts w:ascii="PT Astra Serif" w:hAnsi="PT Astra Serif"/>
          <w:color w:val="FF0000"/>
          <w:sz w:val="28"/>
          <w:szCs w:val="28"/>
          <w:lang w:val="en-US"/>
        </w:rPr>
      </w:pPr>
      <w:r>
        <w:rPr>
          <w:rFonts w:ascii="PT Astra Serif" w:hAnsi="PT Astra Serif"/>
          <w:color w:val="FF0000"/>
          <w:sz w:val="28"/>
          <w:szCs w:val="28"/>
          <w:lang w:val="en-US"/>
        </w:rPr>
      </w:r>
    </w:p>
    <w:p>
      <w:pPr>
        <w:pStyle w:val="Normal"/>
        <w:ind w:left="-709" w:hanging="0"/>
        <w:jc w:val="both"/>
        <w:rPr>
          <w:rFonts w:ascii="PT Astra Serif" w:hAnsi="PT Astra Serif"/>
          <w:sz w:val="28"/>
          <w:szCs w:val="28"/>
        </w:rPr>
      </w:pPr>
      <w:r>
        <w:rPr/>
      </w:r>
    </w:p>
    <w:sectPr>
      <w:headerReference w:type="default" r:id="rId17"/>
      <w:type w:val="nextPage"/>
      <w:pgSz w:w="11906" w:h="16838"/>
      <w:pgMar w:left="1701" w:right="566" w:header="708" w:top="851" w:footer="0" w:bottom="567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SchoolBook">
    <w:charset w:val="cc"/>
    <w:family w:val="roman"/>
    <w:pitch w:val="variable"/>
  </w:font>
  <w:font w:name="Arial">
    <w:charset w:val="cc"/>
    <w:family w:val="roman"/>
    <w:pitch w:val="variable"/>
  </w:font>
  <w:font w:name="PT Astra Serif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464803019"/>
    </w:sdtPr>
    <w:sdtContent>
      <w:p>
        <w:pPr>
          <w:pStyle w:val="Style28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</w:sdtContent>
  </w:sdt>
  <w:p>
    <w:pPr>
      <w:pStyle w:val="Style28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f785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4"/>
    <w:qFormat/>
    <w:rsid w:val="00ed32fc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627155"/>
    <w:rPr>
      <w:rFonts w:ascii="Segoe UI" w:hAnsi="Segoe UI" w:eastAsia="Times New Roman" w:cs="Segoe UI"/>
      <w:sz w:val="18"/>
      <w:szCs w:val="18"/>
      <w:lang w:eastAsia="ru-RU"/>
    </w:rPr>
  </w:style>
  <w:style w:type="character" w:styleId="Style16" w:customStyle="1">
    <w:name w:val="Текст сноски Знак"/>
    <w:basedOn w:val="DefaultParagraphFont"/>
    <w:link w:val="a8"/>
    <w:semiHidden/>
    <w:qFormat/>
    <w:rsid w:val="00874a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874a55"/>
    <w:rPr>
      <w:vertAlign w:val="superscript"/>
    </w:rPr>
  </w:style>
  <w:style w:type="character" w:styleId="2" w:customStyle="1">
    <w:name w:val="Основной текст (2)_"/>
    <w:link w:val="21"/>
    <w:uiPriority w:val="99"/>
    <w:qFormat/>
    <w:rsid w:val="00df5b6b"/>
    <w:rPr>
      <w:sz w:val="28"/>
      <w:szCs w:val="28"/>
      <w:shd w:fill="FFFFFF" w:val="clear"/>
    </w:rPr>
  </w:style>
  <w:style w:type="character" w:styleId="Style18">
    <w:name w:val="Выделение"/>
    <w:qFormat/>
    <w:rsid w:val="00df5b6b"/>
    <w:rPr>
      <w:i/>
      <w:iCs/>
    </w:rPr>
  </w:style>
  <w:style w:type="character" w:styleId="Style19" w:customStyle="1">
    <w:name w:val="Верхний колонтитул Знак"/>
    <w:basedOn w:val="DefaultParagraphFont"/>
    <w:link w:val="ae"/>
    <w:uiPriority w:val="99"/>
    <w:qFormat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0" w:customStyle="1">
    <w:name w:val="Нижний колонтитул Знак"/>
    <w:basedOn w:val="DefaultParagraphFont"/>
    <w:link w:val="af0"/>
    <w:uiPriority w:val="99"/>
    <w:qFormat/>
    <w:rsid w:val="006332c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2">
    <w:name w:val="Body Text"/>
    <w:basedOn w:val="Normal"/>
    <w:link w:val="a5"/>
    <w:rsid w:val="00ed32fc"/>
    <w:pPr>
      <w:jc w:val="center"/>
    </w:pPr>
    <w:rPr>
      <w:b/>
      <w:bCs/>
      <w:i/>
      <w:iCs/>
      <w:sz w:val="26"/>
      <w:szCs w:val="26"/>
    </w:rPr>
  </w:style>
  <w:style w:type="paragraph" w:styleId="Style23">
    <w:name w:val="List"/>
    <w:basedOn w:val="Style22"/>
    <w:pPr/>
    <w:rPr>
      <w:rFonts w:cs="Arial Unicode MS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Arial Unicode MS"/>
    </w:rPr>
  </w:style>
  <w:style w:type="paragraph" w:styleId="NoSpacing">
    <w:name w:val="No Spacing"/>
    <w:uiPriority w:val="1"/>
    <w:qFormat/>
    <w:rsid w:val="00bf785c"/>
    <w:pPr>
      <w:widowControl/>
      <w:bidi w:val="0"/>
      <w:spacing w:lineRule="auto" w:line="240" w:before="0" w:after="0"/>
      <w:jc w:val="left"/>
    </w:pPr>
    <w:rPr>
      <w:rFonts w:ascii="SchoolBook" w:hAnsi="SchoolBook" w:eastAsia="Calibri" w:cs="Times New Roman" w:eastAsiaTheme="minorHAnsi"/>
      <w:color w:val="auto"/>
      <w:kern w:val="0"/>
      <w:sz w:val="28"/>
      <w:szCs w:val="28"/>
      <w:lang w:val="ru-RU" w:eastAsia="en-US" w:bidi="ar-SA"/>
    </w:rPr>
  </w:style>
  <w:style w:type="paragraph" w:styleId="Default" w:customStyle="1">
    <w:name w:val="Default"/>
    <w:qFormat/>
    <w:rsid w:val="00ed32f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627155"/>
    <w:pPr/>
    <w:rPr>
      <w:rFonts w:ascii="Segoe UI" w:hAnsi="Segoe UI" w:cs="Segoe UI"/>
      <w:sz w:val="18"/>
      <w:szCs w:val="18"/>
    </w:rPr>
  </w:style>
  <w:style w:type="paragraph" w:styleId="Style26">
    <w:name w:val="Footnote Text"/>
    <w:basedOn w:val="Normal"/>
    <w:link w:val="a9"/>
    <w:semiHidden/>
    <w:unhideWhenUsed/>
    <w:rsid w:val="00874a55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a6682"/>
    <w:pPr>
      <w:spacing w:before="0" w:after="0"/>
      <w:ind w:left="720" w:hanging="0"/>
      <w:contextualSpacing/>
    </w:pPr>
    <w:rPr/>
  </w:style>
  <w:style w:type="paragraph" w:styleId="21" w:customStyle="1">
    <w:name w:val="Основной текст (2)1"/>
    <w:basedOn w:val="Normal"/>
    <w:link w:val="2"/>
    <w:uiPriority w:val="99"/>
    <w:qFormat/>
    <w:rsid w:val="00df5b6b"/>
    <w:pPr>
      <w:widowControl w:val="false"/>
      <w:shd w:val="clear" w:color="auto" w:fill="FFFFFF"/>
      <w:spacing w:lineRule="exact" w:line="322"/>
    </w:pPr>
    <w:rPr>
      <w:rFonts w:ascii="Calibri" w:hAnsi="Calibri" w:eastAsia="Calibri" w:cs="" w:asciiTheme="minorHAnsi" w:cstheme="minorBidi" w:eastAsiaTheme="minorHAnsi" w:hAnsiTheme="minorHAnsi"/>
      <w:sz w:val="28"/>
      <w:szCs w:val="28"/>
      <w:lang w:eastAsia="en-US"/>
    </w:rPr>
  </w:style>
  <w:style w:type="paragraph" w:styleId="Style27">
    <w:name w:val="Верхний и нижний колонтитулы"/>
    <w:basedOn w:val="Normal"/>
    <w:qFormat/>
    <w:pPr/>
    <w:rPr/>
  </w:style>
  <w:style w:type="paragraph" w:styleId="Style28">
    <w:name w:val="Header"/>
    <w:basedOn w:val="Normal"/>
    <w:link w:val="af"/>
    <w:uiPriority w:val="99"/>
    <w:unhideWhenUsed/>
    <w:rsid w:val="006332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9">
    <w:name w:val="Footer"/>
    <w:basedOn w:val="Normal"/>
    <w:link w:val="af1"/>
    <w:uiPriority w:val="99"/>
    <w:unhideWhenUsed/>
    <w:rsid w:val="006332c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qFormat/>
    <w:rsid w:val="00b37053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3336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chart" Target="charts/chart7.xml"/><Relationship Id="rId9" Type="http://schemas.openxmlformats.org/officeDocument/2006/relationships/chart" Target="charts/chart8.xml"/><Relationship Id="rId10" Type="http://schemas.openxmlformats.org/officeDocument/2006/relationships/chart" Target="charts/chart9.xml"/><Relationship Id="rId11" Type="http://schemas.openxmlformats.org/officeDocument/2006/relationships/image" Target="media/image1.jpeg"/><Relationship Id="rId12" Type="http://schemas.openxmlformats.org/officeDocument/2006/relationships/chart" Target="charts/chart10.xml"/><Relationship Id="rId13" Type="http://schemas.openxmlformats.org/officeDocument/2006/relationships/image" Target="media/image2.jpeg"/><Relationship Id="rId14" Type="http://schemas.openxmlformats.org/officeDocument/2006/relationships/image" Target="media/image3.jpeg"/><Relationship Id="rId15" Type="http://schemas.openxmlformats.org/officeDocument/2006/relationships/image" Target="media/image4.jpeg"/><Relationship Id="rId16" Type="http://schemas.openxmlformats.org/officeDocument/2006/relationships/chart" Target="charts/chart1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<Relationship Id="rId21" Type="http://schemas.openxmlformats.org/officeDocument/2006/relationships/customXml" Target="../customXml/item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2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3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4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5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6.xlsx"/>
</Relationships>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7.xlsx"/>
</Relationships>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8.xlsx"/>
</Relationships>
</file>

<file path=word/charts/_rels/chart9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9.xlsx"/>
</Relationships>
</file>

<file path=word/charts/_rels/chart10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0.xlsx"/>
</Relationships>
</file>

<file path=word/charts/_rels/chart1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1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autoTitleDeleted val="1"/>
    <c:view3D>
      <c:rotX val="15"/>
      <c:rotY val="20"/>
      <c:rAngAx val="1"/>
      <c:perspective val="30"/>
    </c:view3D>
    <c:floor>
      <c:spPr>
        <a:noFill/>
        <a:ln w="6480">
          <a:noFill/>
        </a:ln>
      </c:spPr>
    </c:floor>
    <c:sideWall>
      <c:spPr>
        <a:noFill/>
        <a:ln w="6480">
          <a:noFill/>
        </a:ln>
      </c:spPr>
    </c:sideWall>
    <c:backWall>
      <c:spPr>
        <a:noFill/>
        <a:ln w="6480">
          <a:noFill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98</c:v>
                </c:pt>
                <c:pt idx="1">
                  <c:v>3</c:v>
                </c:pt>
                <c:pt idx="2">
                  <c:v>110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rgbClr val="ed7d31"/>
            </a:solidFill>
            <a:ln w="0">
              <a:noFill/>
            </a:ln>
          </c:spPr>
          <c:invertIfNegative val="0"/>
          <c:dPt>
            <c:idx val="0"/>
            <c:invertIfNegative val="0"/>
            <c:spPr>
              <a:solidFill>
                <a:srgbClr val="ed7d31"/>
              </a:solidFill>
              <a:ln w="0">
                <a:noFill/>
              </a:ln>
            </c:spPr>
          </c:dPt>
          <c:dPt>
            <c:idx val="1"/>
            <c:invertIfNegative val="0"/>
            <c:spPr>
              <a:solidFill>
                <a:srgbClr val="ed7d31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ed7d31"/>
              </a:solidFill>
              <a:ln w="0">
                <a:noFill/>
              </a:ln>
            </c:spPr>
          </c:dPt>
          <c:dLbls>
            <c:numFmt formatCode="General" sourceLinked="0"/>
            <c:dLbl>
              <c:idx val="0"/>
              <c:layout>
                <c:manualLayout>
                  <c:x val="0.0376175548589342"/>
                  <c:y val="-0.00716845878136201"/>
                </c:manualLayout>
              </c:layout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1"/>
              <c:layout>
                <c:manualLayout>
                  <c:x val="0.0334378265412748"/>
                  <c:y val="-6.57101130736516E-017"/>
                </c:manualLayout>
              </c:layout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layout>
                <c:manualLayout>
                  <c:x val="0.0334378265412748"/>
                  <c:y val="-1.64275282684129E-017"/>
                </c:manualLayout>
              </c:layout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118</c:v>
                </c:pt>
                <c:pt idx="1">
                  <c:v>4</c:v>
                </c:pt>
                <c:pt idx="2">
                  <c:v>130</c:v>
                </c:pt>
              </c:numCache>
            </c:numRef>
          </c:val>
        </c:ser>
        <c:gapWidth val="150"/>
        <c:shape val="box"/>
        <c:axId val="9235084"/>
        <c:axId val="65187032"/>
        <c:axId val="0"/>
      </c:bar3DChart>
      <c:catAx>
        <c:axId val="923508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65187032"/>
        <c:crosses val="autoZero"/>
        <c:auto val="1"/>
        <c:lblAlgn val="ctr"/>
        <c:lblOffset val="100"/>
        <c:noMultiLvlLbl val="0"/>
      </c:catAx>
      <c:valAx>
        <c:axId val="65187032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9235084"/>
        <c:crosses val="autoZero"/>
        <c:crossBetween val="between"/>
      </c:valAx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200" spc="-1" strike="noStrike">
                <a:solidFill>
                  <a:srgbClr val="595959"/>
                </a:solidFill>
                <a:latin typeface="Calibri"/>
              </a:defRPr>
            </a:pPr>
            <a:r>
              <a:rPr b="1" lang="ru-RU" sz="1200" spc="-1" strike="noStrike">
                <a:solidFill>
                  <a:srgbClr val="595959"/>
                </a:solidFill>
                <a:latin typeface="Calibri"/>
              </a:rPr>
              <a:t>Территории, где зарегистрирован рост ДТП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 2024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20"/>
                <c:pt idx="0">
                  <c:v>Каменск-Уральский</c:v>
                </c:pt>
                <c:pt idx="1">
                  <c:v>Нижний Тагил</c:v>
                </c:pt>
                <c:pt idx="2">
                  <c:v>Алапаевский</c:v>
                </c:pt>
                <c:pt idx="3">
                  <c:v>Артемовский</c:v>
                </c:pt>
                <c:pt idx="4">
                  <c:v>Байкалово</c:v>
                </c:pt>
                <c:pt idx="5">
                  <c:v>Березовский</c:v>
                </c:pt>
                <c:pt idx="6">
                  <c:v>Богданович</c:v>
                </c:pt>
                <c:pt idx="7">
                  <c:v>Заречный</c:v>
                </c:pt>
                <c:pt idx="8">
                  <c:v>Камышлов</c:v>
                </c:pt>
                <c:pt idx="9">
                  <c:v>Качканар</c:v>
                </c:pt>
                <c:pt idx="10">
                  <c:v>Красноуральск</c:v>
                </c:pt>
                <c:pt idx="11">
                  <c:v>Нижние Серги</c:v>
                </c:pt>
                <c:pt idx="12">
                  <c:v>Полевской</c:v>
                </c:pt>
                <c:pt idx="13">
                  <c:v>Пышма</c:v>
                </c:pt>
                <c:pt idx="14">
                  <c:v>Североуральск</c:v>
                </c:pt>
                <c:pt idx="15">
                  <c:v>Сысерть</c:v>
                </c:pt>
                <c:pt idx="16">
                  <c:v>Талица</c:v>
                </c:pt>
                <c:pt idx="17">
                  <c:v>Тугулым</c:v>
                </c:pt>
                <c:pt idx="18">
                  <c:v>Туринск</c:v>
                </c:pt>
                <c:pt idx="19">
                  <c:v>Шаля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0"/>
                <c:pt idx="0">
                  <c:v>1</c:v>
                </c:pt>
                <c:pt idx="1">
                  <c:v>8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2</c:v>
                </c:pt>
                <c:pt idx="6">
                  <c:v>3</c:v>
                </c:pt>
                <c:pt idx="7">
                  <c:v>3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ДТП 2025</c:v>
                </c:pt>
              </c:strCache>
            </c:strRef>
          </c:tx>
          <c:spPr>
            <a:solidFill>
              <a:srgbClr val="ed7d31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20"/>
                <c:pt idx="0">
                  <c:v>Каменск-Уральский</c:v>
                </c:pt>
                <c:pt idx="1">
                  <c:v>Нижний Тагил</c:v>
                </c:pt>
                <c:pt idx="2">
                  <c:v>Алапаевский</c:v>
                </c:pt>
                <c:pt idx="3">
                  <c:v>Артемовский</c:v>
                </c:pt>
                <c:pt idx="4">
                  <c:v>Байкалово</c:v>
                </c:pt>
                <c:pt idx="5">
                  <c:v>Березовский</c:v>
                </c:pt>
                <c:pt idx="6">
                  <c:v>Богданович</c:v>
                </c:pt>
                <c:pt idx="7">
                  <c:v>Заречный</c:v>
                </c:pt>
                <c:pt idx="8">
                  <c:v>Камышлов</c:v>
                </c:pt>
                <c:pt idx="9">
                  <c:v>Качканар</c:v>
                </c:pt>
                <c:pt idx="10">
                  <c:v>Красноуральск</c:v>
                </c:pt>
                <c:pt idx="11">
                  <c:v>Нижние Серги</c:v>
                </c:pt>
                <c:pt idx="12">
                  <c:v>Полевской</c:v>
                </c:pt>
                <c:pt idx="13">
                  <c:v>Пышма</c:v>
                </c:pt>
                <c:pt idx="14">
                  <c:v>Североуральск</c:v>
                </c:pt>
                <c:pt idx="15">
                  <c:v>Сысерть</c:v>
                </c:pt>
                <c:pt idx="16">
                  <c:v>Талица</c:v>
                </c:pt>
                <c:pt idx="17">
                  <c:v>Тугулым</c:v>
                </c:pt>
                <c:pt idx="18">
                  <c:v>Туринск</c:v>
                </c:pt>
                <c:pt idx="19">
                  <c:v>Шаля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20"/>
                <c:pt idx="0">
                  <c:v>11</c:v>
                </c:pt>
                <c:pt idx="1">
                  <c:v>14</c:v>
                </c:pt>
                <c:pt idx="2">
                  <c:v>2</c:v>
                </c:pt>
                <c:pt idx="3">
                  <c:v>1</c:v>
                </c:pt>
                <c:pt idx="4">
                  <c:v>2</c:v>
                </c:pt>
                <c:pt idx="5">
                  <c:v>3</c:v>
                </c:pt>
                <c:pt idx="6">
                  <c:v>4</c:v>
                </c:pt>
                <c:pt idx="7">
                  <c:v>6</c:v>
                </c:pt>
                <c:pt idx="8">
                  <c:v>1</c:v>
                </c:pt>
                <c:pt idx="9">
                  <c:v>2</c:v>
                </c:pt>
                <c:pt idx="10">
                  <c:v>1</c:v>
                </c:pt>
                <c:pt idx="11">
                  <c:v>2</c:v>
                </c:pt>
                <c:pt idx="12">
                  <c:v>1</c:v>
                </c:pt>
                <c:pt idx="13">
                  <c:v>1</c:v>
                </c:pt>
                <c:pt idx="14">
                  <c:v>2</c:v>
                </c:pt>
                <c:pt idx="15">
                  <c:v>3</c:v>
                </c:pt>
                <c:pt idx="16">
                  <c:v>3</c:v>
                </c:pt>
                <c:pt idx="17">
                  <c:v>1</c:v>
                </c:pt>
                <c:pt idx="18">
                  <c:v>1</c:v>
                </c:pt>
                <c:pt idx="19">
                  <c:v>1</c:v>
                </c:pt>
              </c:numCache>
            </c:numRef>
          </c:val>
        </c:ser>
        <c:gapWidth val="219"/>
        <c:overlap val="-27"/>
        <c:axId val="71469330"/>
        <c:axId val="71675621"/>
      </c:barChart>
      <c:catAx>
        <c:axId val="71469330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71675621"/>
        <c:crosses val="autoZero"/>
        <c:auto val="1"/>
        <c:lblAlgn val="ctr"/>
        <c:lblOffset val="100"/>
        <c:noMultiLvlLbl val="0"/>
      </c:catAx>
      <c:valAx>
        <c:axId val="71675621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71469330"/>
        <c:crosses val="autoZero"/>
        <c:crossBetween val="between"/>
      </c:valAx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0" sz="1200" spc="-1" strike="noStrike">
                <a:solidFill>
                  <a:srgbClr val="000000"/>
                </a:solidFill>
                <a:latin typeface="Calibri"/>
              </a:rPr>
              <a:t>Распределение пострадавших детей по возрастным группам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детей по возрастным группам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0"/>
            <c:dLbl>
              <c:idx val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30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1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2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</c:dLbls>
          <c:cat>
            <c:strRef>
              <c:f>categories</c:f>
              <c:strCache>
                <c:ptCount val="3"/>
                <c:pt idx="0">
                  <c:v>0-6 лет</c:v>
                </c:pt>
                <c:pt idx="1">
                  <c:v>7-10 лет</c:v>
                </c:pt>
                <c:pt idx="2">
                  <c:v>11-15 лет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30</c:v>
                </c:pt>
                <c:pt idx="1">
                  <c:v>41</c:v>
                </c:pt>
                <c:pt idx="2">
                  <c:v>59</c:v>
                </c:pt>
              </c:numCache>
            </c:numRef>
          </c:val>
        </c:ser>
        <c:firstSliceAng val="0"/>
      </c:pieChart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lang="ru-RU" sz="1200" spc="-1" strike="noStrike">
                <a:solidFill>
                  <a:srgbClr val="000000"/>
                </a:solidFill>
                <a:latin typeface="Calibri"/>
              </a:defRPr>
            </a:pPr>
            <a:r>
              <a:rPr b="0" lang="ru-RU" sz="1200" spc="-1" strike="noStrike">
                <a:solidFill>
                  <a:srgbClr val="000000"/>
                </a:solidFill>
                <a:latin typeface="Calibri"/>
              </a:rPr>
              <a:t>Распределение пострадавших детей по гендерным признакам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детей по гендерным признакам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7030a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0"/>
            <c:dLbl>
              <c:idx val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89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1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</c:dLbls>
          <c:cat>
            <c:strRef>
              <c:f>categories</c:f>
              <c:strCache>
                <c:ptCount val="2"/>
                <c:pt idx="0">
                  <c:v>мальчики</c:v>
                </c:pt>
                <c:pt idx="1">
                  <c:v>девочки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89</c:v>
                </c:pt>
                <c:pt idx="1">
                  <c:v>41</c:v>
                </c:pt>
              </c:numCache>
            </c:numRef>
          </c:val>
        </c:ser>
        <c:firstSliceAng val="0"/>
      </c:pieChart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lang="ru-RU" sz="1400" spc="-1" strike="noStrike">
                <a:solidFill>
                  <a:srgbClr val="000000"/>
                </a:solidFill>
                <a:latin typeface="Calibri"/>
              </a:defRPr>
            </a:pPr>
            <a:r>
              <a:rPr b="0" lang="ru-RU" sz="1400" spc="-1" strike="noStrike">
                <a:solidFill>
                  <a:srgbClr val="000000"/>
                </a:solidFill>
                <a:latin typeface="Calibri"/>
              </a:rPr>
              <a:t>Распределение показателей в зависимости от погодных условий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0591875"/>
          <c:y val="0.311777777777778"/>
          <c:w val="0.918"/>
          <c:h val="0.27422222222222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  <c:pt idx="3">
                  <c:v>Дождь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81</c:v>
                </c:pt>
                <c:pt idx="1">
                  <c:v>27</c:v>
                </c:pt>
                <c:pt idx="2">
                  <c:v>4</c:v>
                </c:pt>
                <c:pt idx="3">
                  <c:v>6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4472c4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  <c:pt idx="3">
                  <c:v>Дождь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4"/>
                <c:pt idx="0">
                  <c:v>87</c:v>
                </c:pt>
                <c:pt idx="1">
                  <c:v>30</c:v>
                </c:pt>
                <c:pt idx="2">
                  <c:v>7</c:v>
                </c:pt>
                <c:pt idx="3">
                  <c:v>6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00000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4"/>
                <c:pt idx="0">
                  <c:v>Ясно</c:v>
                </c:pt>
                <c:pt idx="1">
                  <c:v>Пасмурно</c:v>
                </c:pt>
                <c:pt idx="2">
                  <c:v>Снегопад, метель</c:v>
                </c:pt>
                <c:pt idx="3">
                  <c:v>Дождь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4"/>
                <c:pt idx="0">
                  <c:v>3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</c:ser>
        <c:gapWidth val="219"/>
        <c:overlap val="-27"/>
        <c:axId val="9121533"/>
        <c:axId val="6438297"/>
      </c:barChart>
      <c:catAx>
        <c:axId val="912153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6438297"/>
        <c:crosses val="autoZero"/>
        <c:auto val="1"/>
        <c:lblAlgn val="ctr"/>
        <c:lblOffset val="100"/>
        <c:noMultiLvlLbl val="0"/>
      </c:catAx>
      <c:valAx>
        <c:axId val="6438297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000000"/>
                </a:solidFill>
                <a:latin typeface="Calibri"/>
              </a:defRPr>
            </a:pPr>
          </a:p>
        </c:txPr>
        <c:crossAx val="9121533"/>
        <c:crosses val="autoZero"/>
        <c:crossBetween val="between"/>
      </c:valAx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000000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Calibri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Calibri"/>
              </a:rPr>
              <a:t>Распределение ДТП по времени суток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2</c:v>
                </c:pt>
                <c:pt idx="1">
                  <c:v>6</c:v>
                </c:pt>
                <c:pt idx="2">
                  <c:v>13</c:v>
                </c:pt>
                <c:pt idx="3">
                  <c:v>23</c:v>
                </c:pt>
                <c:pt idx="4">
                  <c:v>38</c:v>
                </c:pt>
                <c:pt idx="5">
                  <c:v>27</c:v>
                </c:pt>
                <c:pt idx="6">
                  <c:v>9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4472c4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7"/>
                <c:pt idx="0">
                  <c:v>2</c:v>
                </c:pt>
                <c:pt idx="1">
                  <c:v>8</c:v>
                </c:pt>
                <c:pt idx="2">
                  <c:v>15</c:v>
                </c:pt>
                <c:pt idx="3">
                  <c:v>23</c:v>
                </c:pt>
                <c:pt idx="4">
                  <c:v>40</c:v>
                </c:pt>
                <c:pt idx="5">
                  <c:v>32</c:v>
                </c:pt>
                <c:pt idx="6">
                  <c:v>10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2</c:v>
                </c:pt>
                <c:pt idx="4">
                  <c:v>1</c:v>
                </c:pt>
                <c:pt idx="5">
                  <c:v>0</c:v>
                </c:pt>
                <c:pt idx="6">
                  <c:v>1</c:v>
                </c:pt>
              </c:numCache>
            </c:numRef>
          </c:val>
        </c:ser>
        <c:gapWidth val="219"/>
        <c:overlap val="-27"/>
        <c:axId val="13355446"/>
        <c:axId val="10349173"/>
      </c:barChart>
      <c:catAx>
        <c:axId val="13355446"/>
        <c:scaling>
          <c:orientation val="minMax"/>
        </c:scaling>
        <c:delete val="0"/>
        <c:axPos val="b"/>
        <c:numFmt formatCode="h:mm;@" sourceLinked="0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7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10349173"/>
        <c:crosses val="autoZero"/>
        <c:auto val="1"/>
        <c:lblAlgn val="ctr"/>
        <c:lblOffset val="100"/>
        <c:noMultiLvlLbl val="0"/>
      </c:catAx>
      <c:valAx>
        <c:axId val="10349173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13355446"/>
        <c:crosses val="autoZero"/>
        <c:crossBetween val="between"/>
      </c:valAx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Calibri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Calibri"/>
              </a:rPr>
              <a:t>Распределение ДТП по дням недели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invertIfNegative val="0"/>
          <c:dPt>
            <c:idx val="1"/>
            <c:invertIfNegative val="0"/>
            <c:spPr>
              <a:solidFill>
                <a:srgbClr val="5b9bd5"/>
              </a:solidFill>
              <a:ln w="0">
                <a:noFill/>
              </a:ln>
            </c:spPr>
          </c:dPt>
          <c:dLbls>
            <c:numFmt formatCode="General" sourceLinked="0"/>
            <c:dLbl>
              <c:idx val="1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13</c:v>
                </c:pt>
                <c:pt idx="1">
                  <c:v>20</c:v>
                </c:pt>
                <c:pt idx="2">
                  <c:v>20</c:v>
                </c:pt>
                <c:pt idx="3">
                  <c:v>19</c:v>
                </c:pt>
                <c:pt idx="4">
                  <c:v>13</c:v>
                </c:pt>
                <c:pt idx="5">
                  <c:v>21</c:v>
                </c:pt>
                <c:pt idx="6">
                  <c:v>12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ffc000"/>
            </a:solidFill>
            <a:ln w="0">
              <a:noFill/>
            </a:ln>
          </c:spPr>
          <c:invertIfNegative val="0"/>
          <c:dPt>
            <c:idx val="1"/>
            <c:invertIfNegative val="0"/>
            <c:spPr>
              <a:solidFill>
                <a:srgbClr val="ffc000"/>
              </a:solidFill>
              <a:ln w="0">
                <a:noFill/>
              </a:ln>
            </c:spPr>
          </c:dPt>
          <c:dPt>
            <c:idx val="6"/>
            <c:invertIfNegative val="0"/>
            <c:spPr>
              <a:solidFill>
                <a:srgbClr val="ffc000"/>
              </a:solidFill>
              <a:ln w="0">
                <a:noFill/>
              </a:ln>
            </c:spPr>
          </c:dPt>
          <c:dLbls>
            <c:numFmt formatCode="General" sourceLinked="0"/>
            <c:dLbl>
              <c:idx val="1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6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7"/>
                <c:pt idx="0">
                  <c:v>13</c:v>
                </c:pt>
                <c:pt idx="1">
                  <c:v>21</c:v>
                </c:pt>
                <c:pt idx="2">
                  <c:v>24</c:v>
                </c:pt>
                <c:pt idx="3">
                  <c:v>24</c:v>
                </c:pt>
                <c:pt idx="4">
                  <c:v>12</c:v>
                </c:pt>
                <c:pt idx="5">
                  <c:v>25</c:v>
                </c:pt>
                <c:pt idx="6">
                  <c:v>11</c:v>
                </c:pt>
              </c:numCache>
            </c:numRef>
          </c:val>
        </c:ser>
        <c:ser>
          <c:idx val="2"/>
          <c:order val="2"/>
          <c:tx>
            <c:strRef>
              <c:f>label 2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 w="0">
              <a:noFill/>
            </a:ln>
          </c:spPr>
          <c:invertIfNegative val="0"/>
          <c:dLbls>
            <c:numFmt formatCode="General" sourceLinked="0"/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2</c:f>
              <c:numCache>
                <c:formatCode>General</c:formatCode>
                <c:ptCount val="7"/>
                <c:pt idx="0">
                  <c:v>1</c:v>
                </c:pt>
                <c:pt idx="1">
                  <c:v>0</c:v>
                </c:pt>
                <c:pt idx="2">
                  <c:v>0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1</c:v>
                </c:pt>
              </c:numCache>
            </c:numRef>
          </c:val>
        </c:ser>
        <c:gapWidth val="219"/>
        <c:overlap val="0"/>
        <c:axId val="86225971"/>
        <c:axId val="94574269"/>
      </c:barChart>
      <c:catAx>
        <c:axId val="86225971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94574269"/>
        <c:crosses val="autoZero"/>
        <c:auto val="1"/>
        <c:lblAlgn val="ctr"/>
        <c:lblOffset val="100"/>
        <c:noMultiLvlLbl val="0"/>
      </c:catAx>
      <c:valAx>
        <c:axId val="94574269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86225971"/>
        <c:crosses val="autoZero"/>
        <c:crossBetween val="between"/>
      </c:valAx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Calibri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Calibri"/>
              </a:rPr>
              <a:t>ДТП по видам</a:t>
            </a:r>
          </a:p>
        </c:rich>
      </c:tx>
      <c:layout>
        <c:manualLayout>
          <c:xMode val="edge"/>
          <c:yMode val="edge"/>
          <c:x val="0.769728729963009"/>
          <c:y val="0.0047068891741549"/>
        </c:manualLayout>
      </c:layout>
      <c:overlay val="0"/>
      <c:spPr>
        <a:noFill/>
        <a:ln w="0">
          <a:noFill/>
        </a:ln>
      </c:spPr>
    </c:title>
    <c:autoTitleDeleted val="0"/>
    <c:view3D>
      <c:rotX val="30"/>
      <c:rotY val="0"/>
      <c:rAngAx val="0"/>
      <c:perspective val="30"/>
    </c:view3D>
    <c:floor>
      <c:spPr>
        <a:solidFill>
          <a:srgbClr val="d9d9d9"/>
        </a:solidFill>
        <a:ln w="0">
          <a:noFill/>
        </a:ln>
      </c:spPr>
    </c:floor>
    <c:sideWall>
      <c:spPr>
        <a:solidFill>
          <a:srgbClr val="d9d9d9"/>
        </a:solidFill>
        <a:ln w="0">
          <a:noFill/>
        </a:ln>
      </c:spPr>
    </c:sideWall>
    <c:backWall>
      <c:spPr>
        <a:solidFill>
          <a:srgbClr val="d9d9d9"/>
        </a:solidFill>
        <a:ln w="0">
          <a:noFill/>
        </a:ln>
      </c:spPr>
    </c:backWall>
    <c:plotArea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видам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4472c4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5"/>
            <c:spPr>
              <a:solidFill>
                <a:srgbClr val="70ad47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6"/>
            <c:spPr>
              <a:solidFill>
                <a:srgbClr val="255e9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7"/>
            <c:spPr>
              <a:solidFill>
                <a:srgbClr val="9e480e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8"/>
            <c:spPr>
              <a:solidFill>
                <a:srgbClr val="636363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9"/>
            <c:spPr>
              <a:solidFill>
                <a:srgbClr val="997300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numFmt formatCode="General" sourceLinked="0"/>
            <c:dLbl>
              <c:idx val="0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1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2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3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4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5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6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7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8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9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bestFit"/>
            <c:showLegendKey val="0"/>
            <c:showVal val="1"/>
            <c:showCatName val="1"/>
            <c:showSerName val="0"/>
            <c:showPercent val="0"/>
            <c:separator>; </c:separator>
            <c:showLeaderLines val="1"/>
          </c:dLbls>
          <c:cat>
            <c:strRef>
              <c:f>categories</c:f>
              <c:strCache>
                <c:ptCount val="10"/>
                <c:pt idx="0">
                  <c:v>Столкновения</c:v>
                </c:pt>
                <c:pt idx="1">
                  <c:v>Наезд на пешехода</c:v>
                </c:pt>
                <c:pt idx="2">
                  <c:v>Наезд на стоящее ТС</c:v>
                </c:pt>
                <c:pt idx="3">
                  <c:v>Съезд с дороги</c:v>
                </c:pt>
                <c:pt idx="4">
                  <c:v>Падение пассажира</c:v>
                </c:pt>
                <c:pt idx="5">
                  <c:v>Наезд на велосипедиста</c:v>
                </c:pt>
                <c:pt idx="6">
                  <c:v>Опрокидывание</c:v>
                </c:pt>
                <c:pt idx="7">
                  <c:v>Наезд на препятствие</c:v>
                </c:pt>
                <c:pt idx="8">
                  <c:v>Наезд на животное</c:v>
                </c:pt>
                <c:pt idx="9">
                  <c:v>Падение груза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39</c:v>
                </c:pt>
                <c:pt idx="1">
                  <c:v>55</c:v>
                </c:pt>
                <c:pt idx="3">
                  <c:v>7</c:v>
                </c:pt>
                <c:pt idx="5">
                  <c:v>12</c:v>
                </c:pt>
                <c:pt idx="6">
                  <c:v>2</c:v>
                </c:pt>
                <c:pt idx="7">
                  <c:v>2</c:v>
                </c:pt>
                <c:pt idx="9">
                  <c:v>1</c:v>
                </c:pt>
              </c:numCache>
            </c:numRef>
          </c:val>
        </c:ser>
      </c:pie3DChart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Calibri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Calibri"/>
              </a:rPr>
              <a:t>Распределение раненых и погибших в ДТП детей по значению дорог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barChart>
        <c:barDir val="bar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00b0f0"/>
            </a:solidFill>
            <a:ln w="0">
              <a:noFill/>
            </a:ln>
          </c:spPr>
          <c:invertIfNegative val="0"/>
          <c:dPt>
            <c:idx val="1"/>
            <c:invertIfNegative val="0"/>
            <c:spPr>
              <a:solidFill>
                <a:srgbClr val="00b0f0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00b0f0"/>
              </a:solidFill>
              <a:ln w="0">
                <a:noFill/>
              </a:ln>
            </c:spPr>
          </c:dPt>
          <c:dPt>
            <c:idx val="3"/>
            <c:invertIfNegative val="0"/>
            <c:spPr>
              <a:solidFill>
                <a:srgbClr val="00b0f0"/>
              </a:solidFill>
              <a:ln w="0">
                <a:noFill/>
              </a:ln>
            </c:spPr>
          </c:dPt>
          <c:dPt>
            <c:idx val="4"/>
            <c:invertIfNegative val="0"/>
            <c:spPr>
              <a:solidFill>
                <a:srgbClr val="00b0f0"/>
              </a:solidFill>
              <a:ln w="0">
                <a:noFill/>
              </a:ln>
            </c:spPr>
          </c:dPt>
          <c:dLbls>
            <c:numFmt formatCode="General" sourceLinked="0"/>
            <c:dLbl>
              <c:idx val="1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22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2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76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3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24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4"/>
              <c:layout>
                <c:manualLayout>
                  <c:x val="0.0207490403568835"/>
                  <c:y val="-0.0205920205920206"/>
                </c:manualLayout>
              </c:layout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8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5"/>
                <c:pt idx="0">
                  <c:v/>
                </c:pt>
                <c:pt idx="1">
                  <c:v>Частного значения</c:v>
                </c:pt>
                <c:pt idx="2">
                  <c:v>Местного значения</c:v>
                </c:pt>
                <c:pt idx="3">
                  <c:v>Регионального значения</c:v>
                </c:pt>
                <c:pt idx="4">
                  <c:v>Федерального значения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5"/>
                <c:pt idx="1">
                  <c:v>22</c:v>
                </c:pt>
                <c:pt idx="2">
                  <c:v>76</c:v>
                </c:pt>
                <c:pt idx="3">
                  <c:v>24</c:v>
                </c:pt>
                <c:pt idx="4">
                  <c:v>8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погибло</c:v>
                </c:pt>
              </c:strCache>
            </c:strRef>
          </c:tx>
          <c:spPr>
            <a:solidFill>
              <a:srgbClr val="c00000"/>
            </a:solidFill>
            <a:ln w="0">
              <a:noFill/>
            </a:ln>
          </c:spPr>
          <c:invertIfNegative val="0"/>
          <c:dPt>
            <c:idx val="1"/>
            <c:invertIfNegative val="0"/>
            <c:spPr>
              <a:solidFill>
                <a:srgbClr val="c00000"/>
              </a:solidFill>
              <a:ln w="0">
                <a:noFill/>
              </a:ln>
            </c:spPr>
          </c:dPt>
          <c:dPt>
            <c:idx val="2"/>
            <c:invertIfNegative val="0"/>
            <c:spPr>
              <a:solidFill>
                <a:srgbClr val="c00000"/>
              </a:solidFill>
              <a:ln w="0">
                <a:noFill/>
              </a:ln>
            </c:spPr>
          </c:dPt>
          <c:dPt>
            <c:idx val="3"/>
            <c:invertIfNegative val="0"/>
            <c:spPr>
              <a:solidFill>
                <a:srgbClr val="c00000"/>
              </a:solidFill>
              <a:ln w="0">
                <a:noFill/>
              </a:ln>
            </c:spPr>
          </c:dPt>
          <c:dPt>
            <c:idx val="4"/>
            <c:invertIfNegative val="0"/>
            <c:spPr>
              <a:solidFill>
                <a:srgbClr val="c00000"/>
              </a:solidFill>
              <a:ln w="0">
                <a:noFill/>
              </a:ln>
            </c:spPr>
          </c:dPt>
          <c:dLbls>
            <c:numFmt formatCode="General" sourceLinked="0"/>
            <c:dLbl>
              <c:idx val="1"/>
              <c:layout>
                <c:manualLayout>
                  <c:x val="0.0186741363211951"/>
                  <c:y val="-0.0308880308880309"/>
                </c:manualLayout>
              </c:layout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0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2"/>
              <c:layout>
                <c:manualLayout>
                  <c:x val="0.00932236411625017"/>
                  <c:y val="-0.0205920205920206"/>
                </c:manualLayout>
              </c:layout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tx>
                <c:rich>
                  <a:bodyPr/>
                  <a:p>
                    <a:r>
                      <a:rPr b="0" sz="900" spc="-1" strike="noStrike">
                        <a:solidFill>
                          <a:srgbClr val="404040"/>
                        </a:solidFill>
                        <a:latin typeface="Calibri"/>
                      </a:rPr>
                      <a:t>2</a:t>
                    </a:r>
                  </a:p>
                </c:rich>
              </c:tx>
              <c:dLblPos val="outEnd"/>
              <c:showLegendKey val="0"/>
              <c:showVal val="0"/>
              <c:showCatName val="0"/>
              <c:showSerName val="0"/>
              <c:showPercent val="0"/>
              <c:separator>; </c:separator>
            </c:dLbl>
            <c:dLbl>
              <c:idx val="3"/>
              <c:layout>
                <c:manualLayout>
                  <c:x val="0.029389626950226"/>
                  <c:y val="-0.0308880308880309"/>
                </c:manualLayout>
              </c:layout>
              <c:numFmt formatCode="General" sourceLinked="0"/>
              <c:spPr>
                <a:solidFill>
                  <a:srgbClr val="FFFFFF"/>
                </a:solidFill>
              </c:spPr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595959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dLbl>
              <c:idx val="4"/>
              <c:layout>
                <c:manualLayout>
                  <c:x val="0.0352733686067019"/>
                  <c:y val="-0.0720720720720721"/>
                </c:manualLayout>
              </c:layout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ctr"/>
            <c:showLegendKey val="0"/>
            <c:showVal val="1"/>
            <c:showCatName val="0"/>
            <c:showSerName val="0"/>
            <c:showPercent val="0"/>
            <c:separator>; </c:separator>
            <c:showLeaderLines val="1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categories</c:f>
              <c:strCache>
                <c:ptCount val="5"/>
                <c:pt idx="0">
                  <c:v/>
                </c:pt>
                <c:pt idx="1">
                  <c:v>Частного значения</c:v>
                </c:pt>
                <c:pt idx="2">
                  <c:v>Местного значения</c:v>
                </c:pt>
                <c:pt idx="3">
                  <c:v>Регионального значения</c:v>
                </c:pt>
                <c:pt idx="4">
                  <c:v>Федерального значения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5"/>
                <c:pt idx="1">
                  <c:v>0</c:v>
                </c:pt>
                <c:pt idx="2">
                  <c:v>2</c:v>
                </c:pt>
                <c:pt idx="3">
                  <c:v>2</c:v>
                </c:pt>
                <c:pt idx="4">
                  <c:v>0</c:v>
                </c:pt>
              </c:numCache>
            </c:numRef>
          </c:val>
        </c:ser>
        <c:gapWidth val="182"/>
        <c:overlap val="0"/>
        <c:axId val="24331215"/>
        <c:axId val="20146102"/>
      </c:barChart>
      <c:catAx>
        <c:axId val="24331215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20146102"/>
        <c:crosses val="autoZero"/>
        <c:auto val="1"/>
        <c:lblAlgn val="ctr"/>
        <c:lblOffset val="100"/>
        <c:noMultiLvlLbl val="0"/>
      </c:catAx>
      <c:valAx>
        <c:axId val="20146102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24331215"/>
        <c:crosses val="autoZero"/>
        <c:crossBetween val="between"/>
      </c:valAx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lang="ru-RU" sz="1400" spc="-1" strike="noStrike">
                <a:solidFill>
                  <a:srgbClr val="000000"/>
                </a:solidFill>
                <a:latin typeface="Calibri"/>
              </a:defRPr>
            </a:pPr>
            <a:r>
              <a:rPr b="0" lang="ru-RU" sz="1400" spc="-1" strike="noStrike">
                <a:solidFill>
                  <a:srgbClr val="000000"/>
                </a:solidFill>
                <a:latin typeface="Calibri"/>
              </a:rPr>
              <a:t>Пассажиры</a:t>
            </a:r>
          </a:p>
        </c:rich>
      </c:tx>
      <c:overlay val="0"/>
      <c:spPr>
        <a:noFill/>
        <a:ln w="0">
          <a:noFill/>
        </a:ln>
      </c:spPr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Пассажиры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c00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dLbl>
              <c:idx val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dLbl>
              <c:idx val="1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showLegendKey val="0"/>
              <c:showVal val="0"/>
              <c:showCatName val="0"/>
              <c:showSerName val="0"/>
              <c:showPercent val="1"/>
              <c:separator>
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showLegendKey val="0"/>
            <c:showVal val="0"/>
            <c:showCatName val="0"/>
            <c:showSerName val="0"/>
            <c:showPercent val="1"/>
            <c:separator>
</c:separator>
            <c:showLeaderLines val="1"/>
          </c:dLbls>
          <c:cat>
            <c:strRef>
              <c:f>categories</c:f>
              <c:strCache>
                <c:ptCount val="2"/>
                <c:pt idx="0">
                  <c:v>Перевозились с нарушением ПДД РФ</c:v>
                </c:pt>
                <c:pt idx="1">
                  <c:v>Перевозились без нарушений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19</c:v>
                </c:pt>
                <c:pt idx="1">
                  <c:v>81</c:v>
                </c:pt>
              </c:numCache>
            </c:numRef>
          </c:val>
        </c:ser>
        <c:firstSliceAng val="0"/>
        <c:holeSize val="50"/>
      </c:doughnutChart>
      <c:spPr>
        <a:noFill/>
        <a:ln w="0">
          <a:noFill/>
        </a:ln>
      </c:spPr>
    </c:plotArea>
    <c:legend>
      <c:legendPos val="b"/>
      <c:overlay val="0"/>
      <c:spPr>
        <a:noFill/>
        <a:ln w="0"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1" lang="ru-RU" sz="1400" spc="-1" strike="noStrike">
                <a:solidFill>
                  <a:srgbClr val="000000"/>
                </a:solidFill>
                <a:latin typeface="Calibri"/>
              </a:defRPr>
            </a:pPr>
            <a:r>
              <a:rPr b="1" lang="ru-RU" sz="1400" spc="-1" strike="noStrike">
                <a:solidFill>
                  <a:srgbClr val="000000"/>
                </a:solidFill>
                <a:latin typeface="Calibri"/>
              </a:rPr>
              <a:t>ДТП по категориям участников</a:t>
            </a:r>
          </a:p>
        </c:rich>
      </c:tx>
      <c:layout>
        <c:manualLayout>
          <c:xMode val="edge"/>
          <c:yMode val="edge"/>
          <c:x val="0.0309584086799277"/>
          <c:y val="0.00628817822493712"/>
        </c:manualLayout>
      </c:layout>
      <c:overlay val="0"/>
      <c:spPr>
        <a:noFill/>
        <a:ln w="0">
          <a:noFill/>
        </a:ln>
      </c:spPr>
    </c:title>
    <c:autoTitleDeleted val="0"/>
    <c:view3D>
      <c:rotX val="30"/>
      <c:rotY val="0"/>
      <c:rAngAx val="0"/>
      <c:perspective val="30"/>
    </c:view3D>
    <c:floor>
      <c:spPr>
        <a:solidFill>
          <a:srgbClr val="d9d9d9"/>
        </a:solidFill>
        <a:ln w="0">
          <a:noFill/>
        </a:ln>
      </c:spPr>
    </c:floor>
    <c:sideWall>
      <c:spPr>
        <a:solidFill>
          <a:srgbClr val="d9d9d9"/>
        </a:solidFill>
        <a:ln w="0">
          <a:noFill/>
        </a:ln>
      </c:spPr>
    </c:sideWall>
    <c:backWall>
      <c:spPr>
        <a:solidFill>
          <a:srgbClr val="d9d9d9"/>
        </a:solidFill>
        <a:ln w="0">
          <a:noFill/>
        </a:ln>
      </c:spPr>
    </c:backWall>
    <c:plotArea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категориям участников</c:v>
                </c:pt>
              </c:strCache>
            </c:strRef>
          </c:tx>
          <c:spPr>
            <a:solidFill>
              <a:srgbClr val="5b9bd5"/>
            </a:solidFill>
            <a:ln w="0"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numFmt formatCode="General" sourceLinked="0"/>
            <c:dLbl>
              <c:idx val="0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1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2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dLbl>
              <c:idx val="3"/>
              <c:numFmt formatCode="General" sourceLinked="0"/>
              <c:txPr>
                <a:bodyPr wrap="square"/>
                <a:lstStyle/>
                <a:p>
                  <a:pPr>
                    <a:defRPr b="0" sz="900" spc="-1" strike="noStrike">
                      <a:solidFill>
                        <a:srgbClr val="404040"/>
                      </a:solidFill>
                      <a:latin typeface="Calibri"/>
                    </a:defRPr>
                  </a:pPr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eparator>; </c:separator>
            </c:dLbl>
            <c:txPr>
              <a:bodyPr wrap="square"/>
              <a:lstStyle/>
              <a:p>
                <a:pPr>
                  <a:defRPr b="0" sz="900" spc="-1" strike="noStrike">
                    <a:solidFill>
                      <a:srgbClr val="404040"/>
                    </a:solidFill>
                    <a:latin typeface="Calibri"/>
                  </a:defRPr>
                </a:pPr>
              </a:p>
            </c:txPr>
            <c:dLblPos val="bestFit"/>
            <c:showLegendKey val="0"/>
            <c:showVal val="1"/>
            <c:showCatName val="1"/>
            <c:showSerName val="0"/>
            <c:showPercent val="0"/>
            <c:separator>; </c:separator>
            <c:showLeaderLines val="1"/>
          </c:dLbls>
          <c:cat>
            <c:strRef>
              <c:f>categories</c:f>
              <c:strCache>
                <c:ptCount val="4"/>
                <c:pt idx="0">
                  <c:v>Пассажиры</c:v>
                </c:pt>
                <c:pt idx="1">
                  <c:v>Пешеходы</c:v>
                </c:pt>
                <c:pt idx="2">
                  <c:v>Велосипедисты</c:v>
                </c:pt>
                <c:pt idx="3">
                  <c:v>Водитель мототранспорта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42</c:v>
                </c:pt>
                <c:pt idx="1">
                  <c:v>56</c:v>
                </c:pt>
                <c:pt idx="2">
                  <c:v>12</c:v>
                </c:pt>
                <c:pt idx="3">
                  <c:v>8</c:v>
                </c:pt>
              </c:numCache>
            </c:numRef>
          </c:val>
        </c:ser>
      </c:pie3DChart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98D55-0343-48A3-9DE8-8DEAA538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LibreOffice/7.1.2.2$Windows_X86_64 LibreOffice_project/8a45595d069ef5570103caea1b71cc9d82b2aae4</Application>
  <AppVersion>15.0000</AppVersion>
  <Pages>7</Pages>
  <Words>1776</Words>
  <Characters>10475</Characters>
  <CharactersWithSpaces>12259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2025-06-20T07:08:00Z</dcterms:created>
  <dc:creator>Пользователь</dc:creator>
  <dc:description/>
  <dc:language>ru-RU</dc:language>
  <cp:lastModifiedBy/>
  <cp:lastPrinted>2025-06-16T16:51:00Z</cp:lastPrinted>
  <dcterms:modified xsi:type="dcterms:W3CDTF">2025-06-20T15:50:39Z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